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7F" w:rsidRDefault="00196E7F" w:rsidP="00E32CDB">
      <w:pPr>
        <w:ind w:firstLine="708"/>
        <w:jc w:val="both"/>
      </w:pPr>
      <w:r>
        <w:t xml:space="preserve">Для населения, проживающего в </w:t>
      </w:r>
      <w:r w:rsidRPr="00196E7F">
        <w:rPr>
          <w:b/>
        </w:rPr>
        <w:t>ЖИЛЫХ ДОМАХ</w:t>
      </w:r>
      <w:r>
        <w:t xml:space="preserve"> без централизованного отопления оборудованных </w:t>
      </w:r>
      <w:r w:rsidRPr="00196E7F">
        <w:rPr>
          <w:b/>
        </w:rPr>
        <w:t>ЭЛЕКТРООТОПИТЕЛЬНЫМИ УСТАНОВКАМИ</w:t>
      </w:r>
      <w:r>
        <w:t xml:space="preserve">, в </w:t>
      </w:r>
      <w:r w:rsidRPr="00196E7F">
        <w:rPr>
          <w:b/>
        </w:rPr>
        <w:t>январе-апреле 2025 года</w:t>
      </w:r>
      <w:r>
        <w:t xml:space="preserve"> к максимальным значениям диапазонов объема потребления электрической энергии* может применя</w:t>
      </w:r>
      <w:r w:rsidR="00E412CF">
        <w:t>ться сезонный коэффициент 1,8**</w:t>
      </w:r>
      <w:r w:rsidR="000A2D20">
        <w:t xml:space="preserve"> </w:t>
      </w:r>
      <w:r w:rsidR="000A2D20" w:rsidRPr="00E412CF">
        <w:t>(</w:t>
      </w:r>
      <w:r w:rsidR="009266B9" w:rsidRPr="009266B9">
        <w:t>вместо ранее определё</w:t>
      </w:r>
      <w:r w:rsidR="009266B9">
        <w:t xml:space="preserve">нных Правительством РФ 3900 </w:t>
      </w:r>
      <w:proofErr w:type="spellStart"/>
      <w:r w:rsidR="009266B9">
        <w:t>кВт.ч</w:t>
      </w:r>
      <w:proofErr w:type="spellEnd"/>
      <w:r w:rsidR="009266B9">
        <w:t xml:space="preserve"> *1,8 = 7020 </w:t>
      </w:r>
      <w:proofErr w:type="spellStart"/>
      <w:r w:rsidR="009266B9">
        <w:t>кВт.ч</w:t>
      </w:r>
      <w:proofErr w:type="spellEnd"/>
      <w:r w:rsidR="009266B9">
        <w:t xml:space="preserve"> для 1 диапазона; вместо 6000 </w:t>
      </w:r>
      <w:proofErr w:type="spellStart"/>
      <w:proofErr w:type="gramStart"/>
      <w:r w:rsidR="009266B9">
        <w:t>кВт.ч</w:t>
      </w:r>
      <w:proofErr w:type="spellEnd"/>
      <w:r w:rsidR="009266B9">
        <w:t xml:space="preserve">  *</w:t>
      </w:r>
      <w:proofErr w:type="gramEnd"/>
      <w:r w:rsidR="009266B9">
        <w:t>1,8 = 10800кВт.ч для 2 диапазона</w:t>
      </w:r>
      <w:r w:rsidR="000A2D20" w:rsidRPr="00E412CF">
        <w:t>)</w:t>
      </w:r>
      <w:r w:rsidR="00E412CF">
        <w:t>.</w:t>
      </w:r>
    </w:p>
    <w:p w:rsidR="00196E7F" w:rsidRPr="009266B9" w:rsidRDefault="00196E7F" w:rsidP="00E32CDB">
      <w:pPr>
        <w:jc w:val="both"/>
        <w:rPr>
          <w:b/>
          <w:sz w:val="10"/>
          <w:szCs w:val="10"/>
        </w:rPr>
      </w:pPr>
    </w:p>
    <w:p w:rsidR="00196E7F" w:rsidRDefault="00196E7F" w:rsidP="009266B9">
      <w:pPr>
        <w:ind w:firstLine="708"/>
        <w:jc w:val="both"/>
      </w:pPr>
      <w:r w:rsidRPr="00196E7F">
        <w:rPr>
          <w:b/>
        </w:rPr>
        <w:t>Строение признается жилым домом после государственной регистрации</w:t>
      </w:r>
      <w:r>
        <w:t xml:space="preserve"> (ст.16, ст. 18 Жилищного кодекса РФ).</w:t>
      </w:r>
    </w:p>
    <w:p w:rsidR="00196E7F" w:rsidRPr="009266B9" w:rsidRDefault="00196E7F" w:rsidP="00E32CDB">
      <w:pPr>
        <w:jc w:val="both"/>
        <w:rPr>
          <w:sz w:val="10"/>
          <w:szCs w:val="10"/>
        </w:rPr>
      </w:pPr>
    </w:p>
    <w:p w:rsidR="00D45766" w:rsidRDefault="00196E7F" w:rsidP="009266B9">
      <w:pPr>
        <w:ind w:firstLine="708"/>
        <w:jc w:val="both"/>
      </w:pPr>
      <w:r>
        <w:t xml:space="preserve">Для применения сезонного коэффициента </w:t>
      </w:r>
      <w:r w:rsidRPr="009266B9">
        <w:rPr>
          <w:b/>
        </w:rPr>
        <w:t>необходимо подтвердить</w:t>
      </w:r>
      <w:r>
        <w:t xml:space="preserve"> наличие в жилом помещении электроотопительных установок.</w:t>
      </w:r>
      <w:r w:rsidR="00A62519">
        <w:t xml:space="preserve"> </w:t>
      </w:r>
    </w:p>
    <w:p w:rsidR="00E32CDB" w:rsidRDefault="00196E7F" w:rsidP="00E32CDB">
      <w:pPr>
        <w:jc w:val="both"/>
      </w:pPr>
      <w:r w:rsidRPr="00E32CDB">
        <w:rPr>
          <w:b/>
        </w:rPr>
        <w:t>ДЛЯ ПОДТВЕРЖДЕНИЯ</w:t>
      </w:r>
      <w:r>
        <w:t xml:space="preserve"> необходимо</w:t>
      </w:r>
      <w:r w:rsidR="00E32CDB">
        <w:t xml:space="preserve"> п</w:t>
      </w:r>
      <w:r>
        <w:t xml:space="preserve">редоставить документы: </w:t>
      </w:r>
    </w:p>
    <w:p w:rsidR="00E32CDB" w:rsidRDefault="00196E7F" w:rsidP="009266B9">
      <w:pPr>
        <w:pStyle w:val="a4"/>
        <w:numPr>
          <w:ilvl w:val="0"/>
          <w:numId w:val="1"/>
        </w:numPr>
        <w:ind w:left="426" w:hanging="426"/>
        <w:jc w:val="both"/>
      </w:pPr>
      <w:proofErr w:type="gramStart"/>
      <w:r>
        <w:t>копия</w:t>
      </w:r>
      <w:proofErr w:type="gramEnd"/>
      <w:r>
        <w:t xml:space="preserve"> паспорта гражданина РФ при предоставлении документов онлайн; </w:t>
      </w:r>
    </w:p>
    <w:p w:rsidR="00E32CDB" w:rsidRDefault="00196E7F" w:rsidP="009266B9">
      <w:pPr>
        <w:pStyle w:val="a4"/>
        <w:numPr>
          <w:ilvl w:val="0"/>
          <w:numId w:val="1"/>
        </w:numPr>
        <w:ind w:left="426" w:hanging="426"/>
        <w:jc w:val="both"/>
      </w:pPr>
      <w:proofErr w:type="gramStart"/>
      <w:r>
        <w:t>документы</w:t>
      </w:r>
      <w:proofErr w:type="gramEnd"/>
      <w:r>
        <w:t xml:space="preserve">, подтверждающие право собственности на жилое помещение; </w:t>
      </w:r>
    </w:p>
    <w:p w:rsidR="00E32CDB" w:rsidRDefault="00196E7F" w:rsidP="009266B9">
      <w:pPr>
        <w:pStyle w:val="a4"/>
        <w:numPr>
          <w:ilvl w:val="0"/>
          <w:numId w:val="1"/>
        </w:numPr>
        <w:ind w:left="426" w:hanging="426"/>
        <w:jc w:val="both"/>
      </w:pPr>
      <w:proofErr w:type="gramStart"/>
      <w:r>
        <w:t>копия</w:t>
      </w:r>
      <w:proofErr w:type="gramEnd"/>
      <w:r>
        <w:t xml:space="preserve"> технического паспорта жилого дома, подтверждающего наличие электроотопительных установок; </w:t>
      </w:r>
    </w:p>
    <w:p w:rsidR="00196E7F" w:rsidRPr="00E32CDB" w:rsidRDefault="00196E7F" w:rsidP="009266B9">
      <w:pPr>
        <w:ind w:left="426" w:hanging="426"/>
        <w:jc w:val="both"/>
        <w:rPr>
          <w:b/>
        </w:rPr>
      </w:pPr>
      <w:r w:rsidRPr="00E32CDB">
        <w:rPr>
          <w:b/>
        </w:rPr>
        <w:t>ИЛИ</w:t>
      </w:r>
    </w:p>
    <w:p w:rsidR="00196E7F" w:rsidRDefault="00196E7F" w:rsidP="009266B9">
      <w:pPr>
        <w:pStyle w:val="a4"/>
        <w:numPr>
          <w:ilvl w:val="0"/>
          <w:numId w:val="2"/>
        </w:numPr>
        <w:ind w:left="426" w:hanging="426"/>
        <w:jc w:val="both"/>
      </w:pPr>
      <w:proofErr w:type="gramStart"/>
      <w:r>
        <w:t>при</w:t>
      </w:r>
      <w:proofErr w:type="gramEnd"/>
      <w:r>
        <w:t xml:space="preserve"> отсутствии в техническом паспорте жилого дома отметки об электроотопительных установках, либо при отсутствии технического паспорта потребителем заполняется Информация о целях потребления коммунальной услуги по электроснабжению (п. 20 ПП РФ№354 от 6 мая 2011 г.) (размещено в сервисе: «Подтвердить факт </w:t>
      </w:r>
      <w:proofErr w:type="spellStart"/>
      <w:r>
        <w:t>электроотопления</w:t>
      </w:r>
      <w:proofErr w:type="spellEnd"/>
      <w:r>
        <w:t xml:space="preserve">» </w:t>
      </w:r>
      <w:hyperlink r:id="rId5" w:history="1">
        <w:r w:rsidR="00E32CDB" w:rsidRPr="0099652C">
          <w:rPr>
            <w:rStyle w:val="a3"/>
          </w:rPr>
          <w:t>https://sbyt.irkutskenergo.ru/qa/7020.html</w:t>
        </w:r>
      </w:hyperlink>
      <w:r w:rsidR="00E412CF" w:rsidRPr="00E412CF">
        <w:t xml:space="preserve"> </w:t>
      </w:r>
      <w:r w:rsidR="00E412CF">
        <w:t>(допускается предоставление справки БТИ о способе отопления жилого дома )</w:t>
      </w:r>
      <w:r w:rsidR="00E412CF">
        <w:t>.</w:t>
      </w:r>
    </w:p>
    <w:p w:rsidR="00E32CDB" w:rsidRDefault="00E32CDB" w:rsidP="009266B9">
      <w:pPr>
        <w:ind w:left="426" w:hanging="426"/>
        <w:jc w:val="both"/>
      </w:pPr>
    </w:p>
    <w:p w:rsidR="00E32CDB" w:rsidRPr="00E32CDB" w:rsidRDefault="00E32CDB" w:rsidP="009266B9">
      <w:pPr>
        <w:ind w:left="426" w:hanging="426"/>
        <w:jc w:val="both"/>
        <w:rPr>
          <w:b/>
        </w:rPr>
      </w:pPr>
      <w:r w:rsidRPr="00E32CDB">
        <w:rPr>
          <w:b/>
        </w:rPr>
        <w:t>НЕОБХОДИМО ОБРАТИТЬСЯ:</w:t>
      </w:r>
    </w:p>
    <w:p w:rsidR="00E32CDB" w:rsidRDefault="00E32CDB" w:rsidP="009266B9">
      <w:pPr>
        <w:pStyle w:val="a4"/>
        <w:numPr>
          <w:ilvl w:val="0"/>
          <w:numId w:val="2"/>
        </w:numPr>
        <w:ind w:left="426" w:hanging="426"/>
        <w:jc w:val="both"/>
      </w:pPr>
      <w:r>
        <w:t>На официальный сайт ООО «</w:t>
      </w:r>
      <w:proofErr w:type="spellStart"/>
      <w:r>
        <w:t>Иркутскэнергосбыт</w:t>
      </w:r>
      <w:proofErr w:type="spellEnd"/>
      <w:r>
        <w:t xml:space="preserve">» в сервис: «Подтвердить факт </w:t>
      </w:r>
      <w:proofErr w:type="spellStart"/>
      <w:r>
        <w:t>электроотопления</w:t>
      </w:r>
      <w:proofErr w:type="spellEnd"/>
      <w:r>
        <w:t xml:space="preserve">» </w:t>
      </w:r>
      <w:hyperlink r:id="rId6" w:history="1">
        <w:r w:rsidRPr="0099652C">
          <w:rPr>
            <w:rStyle w:val="a3"/>
          </w:rPr>
          <w:t>https://sbyt.irkutskenergo.ru/qa/7020.html</w:t>
        </w:r>
      </w:hyperlink>
      <w:r>
        <w:t xml:space="preserve">; </w:t>
      </w:r>
    </w:p>
    <w:p w:rsidR="00E32CDB" w:rsidRDefault="00E32CDB" w:rsidP="009266B9">
      <w:pPr>
        <w:pStyle w:val="a4"/>
        <w:numPr>
          <w:ilvl w:val="0"/>
          <w:numId w:val="2"/>
        </w:numPr>
        <w:ind w:left="426" w:hanging="426"/>
        <w:jc w:val="both"/>
      </w:pPr>
      <w:r>
        <w:t>В личный кабинет физического лица или мобильное приложение «</w:t>
      </w:r>
      <w:proofErr w:type="spellStart"/>
      <w:r>
        <w:t>Иркутскэнергосбыт</w:t>
      </w:r>
      <w:proofErr w:type="spellEnd"/>
      <w:r>
        <w:t xml:space="preserve">» в сервис отправки документов онлайн; </w:t>
      </w:r>
    </w:p>
    <w:p w:rsidR="00E32CDB" w:rsidRDefault="00E32CDB" w:rsidP="009266B9">
      <w:pPr>
        <w:pStyle w:val="a4"/>
        <w:numPr>
          <w:ilvl w:val="0"/>
          <w:numId w:val="2"/>
        </w:numPr>
        <w:ind w:left="426" w:hanging="426"/>
        <w:jc w:val="both"/>
      </w:pPr>
      <w:r>
        <w:t>Направить на эле</w:t>
      </w:r>
      <w:r w:rsidR="004C1B2C">
        <w:t>ктронную почту вашего отделения;</w:t>
      </w:r>
    </w:p>
    <w:p w:rsidR="000A2D20" w:rsidRDefault="000A2D20" w:rsidP="009266B9">
      <w:pPr>
        <w:pStyle w:val="a4"/>
        <w:numPr>
          <w:ilvl w:val="0"/>
          <w:numId w:val="2"/>
        </w:numPr>
        <w:ind w:left="426" w:hanging="426"/>
        <w:jc w:val="both"/>
      </w:pPr>
      <w:r w:rsidRPr="00CD42CB">
        <w:t>Предоставить документы лично при визите</w:t>
      </w:r>
      <w:r w:rsidR="00E412CF">
        <w:t xml:space="preserve"> в офис ООО «</w:t>
      </w:r>
      <w:proofErr w:type="spellStart"/>
      <w:r w:rsidR="00E412CF">
        <w:t>Иркутскэнергосбыт</w:t>
      </w:r>
      <w:proofErr w:type="spellEnd"/>
      <w:r w:rsidR="00E412CF">
        <w:t>»</w:t>
      </w:r>
      <w:r w:rsidR="004C1B2C">
        <w:t>,</w:t>
      </w:r>
    </w:p>
    <w:p w:rsidR="00E412CF" w:rsidRDefault="00E412CF" w:rsidP="00E412CF">
      <w:pPr>
        <w:pStyle w:val="a4"/>
        <w:ind w:left="426"/>
        <w:jc w:val="both"/>
      </w:pPr>
      <w:proofErr w:type="gramStart"/>
      <w:r w:rsidRPr="00E412CF">
        <w:t>или</w:t>
      </w:r>
      <w:proofErr w:type="gramEnd"/>
      <w:r w:rsidRPr="00E412CF">
        <w:t xml:space="preserve"> по тел. 8-800-100-9777</w:t>
      </w:r>
      <w:r w:rsidR="004C1B2C">
        <w:t>.</w:t>
      </w:r>
    </w:p>
    <w:p w:rsidR="009266B9" w:rsidRPr="009266B9" w:rsidRDefault="009266B9" w:rsidP="009266B9">
      <w:pPr>
        <w:jc w:val="both"/>
        <w:rPr>
          <w:sz w:val="10"/>
          <w:szCs w:val="10"/>
        </w:rPr>
      </w:pPr>
    </w:p>
    <w:p w:rsidR="00E32CDB" w:rsidRDefault="00E32CDB" w:rsidP="009266B9">
      <w:pPr>
        <w:ind w:firstLine="426"/>
        <w:jc w:val="both"/>
      </w:pPr>
      <w:r w:rsidRPr="00E32CDB">
        <w:rPr>
          <w:b/>
        </w:rPr>
        <w:t xml:space="preserve">В случае предоставления потребителем недостоверных сведений о наличии </w:t>
      </w:r>
      <w:proofErr w:type="spellStart"/>
      <w:r w:rsidRPr="00E32CDB">
        <w:rPr>
          <w:b/>
        </w:rPr>
        <w:t>электрообогрева</w:t>
      </w:r>
      <w:proofErr w:type="spellEnd"/>
      <w:r w:rsidRPr="00E32CDB">
        <w:rPr>
          <w:b/>
        </w:rPr>
        <w:t>, по лицевому счету будет выполнен перерасчет</w:t>
      </w:r>
      <w:r>
        <w:t>.</w:t>
      </w:r>
    </w:p>
    <w:p w:rsidR="00E32CDB" w:rsidRPr="009266B9" w:rsidRDefault="00E32CDB" w:rsidP="00E32CDB">
      <w:pPr>
        <w:rPr>
          <w:sz w:val="10"/>
          <w:szCs w:val="10"/>
        </w:rPr>
      </w:pP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2660"/>
        <w:gridCol w:w="2410"/>
        <w:gridCol w:w="283"/>
        <w:gridCol w:w="2551"/>
        <w:gridCol w:w="2410"/>
      </w:tblGrid>
      <w:tr w:rsidR="00076BCD" w:rsidTr="00076BCD">
        <w:tc>
          <w:tcPr>
            <w:tcW w:w="10314" w:type="dxa"/>
            <w:gridSpan w:val="5"/>
          </w:tcPr>
          <w:p w:rsidR="00076BCD" w:rsidRPr="00076BCD" w:rsidRDefault="00076BCD" w:rsidP="009266B9">
            <w:pPr>
              <w:jc w:val="center"/>
            </w:pPr>
            <w:r w:rsidRPr="00076BCD">
              <w:rPr>
                <w:rFonts w:eastAsia="Times New Roman" w:cs="Times New Roman"/>
                <w:b/>
                <w:bCs/>
                <w:sz w:val="25"/>
                <w:szCs w:val="25"/>
                <w:lang w:eastAsia="ru-RU"/>
              </w:rPr>
              <w:t xml:space="preserve">Тарифы на электроэнергию и максимальные значения </w:t>
            </w:r>
            <w:proofErr w:type="spellStart"/>
            <w:r w:rsidRPr="00076BCD">
              <w:rPr>
                <w:rFonts w:eastAsia="Times New Roman" w:cs="Times New Roman"/>
                <w:b/>
                <w:bCs/>
                <w:sz w:val="25"/>
                <w:szCs w:val="25"/>
                <w:lang w:eastAsia="ru-RU"/>
              </w:rPr>
              <w:t>диапозонов</w:t>
            </w:r>
            <w:proofErr w:type="spellEnd"/>
            <w:r w:rsidRPr="00076BCD">
              <w:rPr>
                <w:rFonts w:eastAsia="Times New Roman" w:cs="Times New Roman"/>
                <w:b/>
                <w:bCs/>
                <w:sz w:val="25"/>
                <w:szCs w:val="25"/>
                <w:lang w:eastAsia="ru-RU"/>
              </w:rPr>
              <w:t xml:space="preserve"> объема потребления электрической энергии (мощности) населением и приравненными к нему категориями потребителей</w:t>
            </w:r>
          </w:p>
        </w:tc>
      </w:tr>
      <w:tr w:rsidR="00076BCD" w:rsidTr="00076BCD">
        <w:tc>
          <w:tcPr>
            <w:tcW w:w="5070" w:type="dxa"/>
            <w:gridSpan w:val="2"/>
          </w:tcPr>
          <w:p w:rsidR="00076BCD" w:rsidRPr="009266B9" w:rsidRDefault="00076BCD" w:rsidP="00076BCD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266B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Жилые дома, многоквартирные дома без </w:t>
            </w:r>
            <w:proofErr w:type="spellStart"/>
            <w:r w:rsidRPr="009266B9">
              <w:rPr>
                <w:rFonts w:eastAsia="Times New Roman" w:cs="Times New Roman"/>
                <w:sz w:val="20"/>
                <w:szCs w:val="20"/>
                <w:lang w:eastAsia="ru-RU"/>
              </w:rPr>
              <w:t>электроотопления</w:t>
            </w:r>
            <w:proofErr w:type="spellEnd"/>
          </w:p>
        </w:tc>
        <w:tc>
          <w:tcPr>
            <w:tcW w:w="283" w:type="dxa"/>
          </w:tcPr>
          <w:p w:rsidR="00076BCD" w:rsidRDefault="00076BCD" w:rsidP="002E6A2C"/>
        </w:tc>
        <w:tc>
          <w:tcPr>
            <w:tcW w:w="4961" w:type="dxa"/>
            <w:gridSpan w:val="2"/>
          </w:tcPr>
          <w:p w:rsidR="00076BCD" w:rsidRPr="00076BCD" w:rsidRDefault="00076BCD" w:rsidP="00076BCD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76BC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Дома, оборудованные электроотопительными установками</w:t>
            </w:r>
          </w:p>
        </w:tc>
      </w:tr>
      <w:tr w:rsidR="00076BCD" w:rsidTr="00076BCD">
        <w:tc>
          <w:tcPr>
            <w:tcW w:w="2660" w:type="dxa"/>
          </w:tcPr>
          <w:p w:rsidR="00076BCD" w:rsidRDefault="00076BCD" w:rsidP="00E32CDB">
            <w:r w:rsidRPr="00E32CDB">
              <w:rPr>
                <w:rFonts w:eastAsia="Times New Roman" w:cs="Times New Roman"/>
                <w:sz w:val="20"/>
                <w:szCs w:val="20"/>
                <w:lang w:eastAsia="ru-RU"/>
              </w:rPr>
              <w:t>Без учета сезонного коэффициента 1,8</w:t>
            </w:r>
          </w:p>
        </w:tc>
        <w:tc>
          <w:tcPr>
            <w:tcW w:w="2410" w:type="dxa"/>
          </w:tcPr>
          <w:p w:rsidR="00076BCD" w:rsidRPr="00076BCD" w:rsidRDefault="00076BCD" w:rsidP="00E32CDB">
            <w:r w:rsidRPr="00076BCD">
              <w:rPr>
                <w:rFonts w:eastAsia="Times New Roman" w:cs="Times New Roman"/>
                <w:sz w:val="20"/>
                <w:szCs w:val="20"/>
                <w:lang w:eastAsia="ru-RU"/>
              </w:rPr>
              <w:t>Тарифы, действующие с 01.01.2025 по 30.06.2025 (</w:t>
            </w:r>
            <w:proofErr w:type="spellStart"/>
            <w:r w:rsidRPr="00076BCD">
              <w:rPr>
                <w:rFonts w:eastAsia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076BCD">
              <w:rPr>
                <w:rFonts w:eastAsia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proofErr w:type="gramStart"/>
            <w:r w:rsidRPr="00076BCD">
              <w:rPr>
                <w:rFonts w:eastAsia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  <w:r w:rsidRPr="00076BCD">
              <w:rPr>
                <w:rFonts w:eastAsia="Times New Roman" w:cs="Times New Roman"/>
                <w:sz w:val="20"/>
                <w:szCs w:val="20"/>
                <w:lang w:eastAsia="ru-RU"/>
              </w:rPr>
              <w:t>)*</w:t>
            </w:r>
            <w:proofErr w:type="gramEnd"/>
            <w:r w:rsidRPr="00076BCD">
              <w:rPr>
                <w:rFonts w:eastAsia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83" w:type="dxa"/>
          </w:tcPr>
          <w:p w:rsidR="00076BCD" w:rsidRPr="00076BCD" w:rsidRDefault="00076BCD" w:rsidP="002E6A2C"/>
        </w:tc>
        <w:tc>
          <w:tcPr>
            <w:tcW w:w="2551" w:type="dxa"/>
          </w:tcPr>
          <w:p w:rsidR="00076BCD" w:rsidRPr="00076BCD" w:rsidRDefault="00076BCD" w:rsidP="002E6A2C">
            <w:pPr>
              <w:spacing w:line="28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76BCD">
              <w:rPr>
                <w:rFonts w:eastAsia="Times New Roman" w:cs="Times New Roman"/>
                <w:sz w:val="20"/>
                <w:szCs w:val="20"/>
                <w:lang w:eastAsia="ru-RU"/>
              </w:rPr>
              <w:t>С учетом сезонного коэффициента 1,8</w:t>
            </w:r>
          </w:p>
          <w:p w:rsidR="00076BCD" w:rsidRPr="00076BCD" w:rsidRDefault="00076BCD" w:rsidP="002E6A2C">
            <w:r w:rsidRPr="00076BC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76BCD"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76BC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76BC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январе - апреле 2025</w:t>
            </w:r>
          </w:p>
        </w:tc>
        <w:tc>
          <w:tcPr>
            <w:tcW w:w="2410" w:type="dxa"/>
          </w:tcPr>
          <w:p w:rsidR="00076BCD" w:rsidRPr="00076BCD" w:rsidRDefault="00076BCD" w:rsidP="00076BCD">
            <w:r w:rsidRPr="00076BCD">
              <w:rPr>
                <w:rFonts w:eastAsia="Times New Roman" w:cs="Times New Roman"/>
                <w:sz w:val="20"/>
                <w:szCs w:val="20"/>
                <w:lang w:eastAsia="ru-RU"/>
              </w:rPr>
              <w:t>Тарифы, действующие с 01.01.2025 по 30.06.2025 (</w:t>
            </w:r>
            <w:proofErr w:type="spellStart"/>
            <w:r w:rsidRPr="00076BCD">
              <w:rPr>
                <w:rFonts w:eastAsia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076BCD">
              <w:rPr>
                <w:rFonts w:eastAsia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76BCD">
              <w:rPr>
                <w:rFonts w:eastAsia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  <w:r w:rsidRPr="00076BCD">
              <w:rPr>
                <w:rFonts w:eastAsia="Times New Roman" w:cs="Times New Roman"/>
                <w:sz w:val="20"/>
                <w:szCs w:val="20"/>
                <w:lang w:eastAsia="ru-RU"/>
              </w:rPr>
              <w:t>) *** (коэффициент 0,7)</w:t>
            </w:r>
          </w:p>
        </w:tc>
      </w:tr>
      <w:tr w:rsidR="00076BCD" w:rsidTr="00076BCD">
        <w:tc>
          <w:tcPr>
            <w:tcW w:w="2660" w:type="dxa"/>
            <w:vAlign w:val="center"/>
          </w:tcPr>
          <w:p w:rsidR="009266B9" w:rsidRDefault="00076BCD" w:rsidP="00076BCD">
            <w:pPr>
              <w:spacing w:line="257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Первый </w:t>
            </w:r>
            <w:proofErr w:type="spellStart"/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>диапозон</w:t>
            </w:r>
            <w:proofErr w:type="spellEnd"/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объемов потребления </w:t>
            </w:r>
          </w:p>
          <w:p w:rsidR="00076BCD" w:rsidRPr="00CD42CB" w:rsidRDefault="00076BCD" w:rsidP="00076BCD">
            <w:pPr>
              <w:spacing w:line="257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0 до 3 900 </w:t>
            </w:r>
            <w:proofErr w:type="spellStart"/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410" w:type="dxa"/>
            <w:vAlign w:val="center"/>
          </w:tcPr>
          <w:p w:rsidR="00076BCD" w:rsidRPr="00CD42CB" w:rsidRDefault="00076BCD" w:rsidP="00076BCD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D42CB">
              <w:rPr>
                <w:rFonts w:eastAsia="Times New Roman" w:cs="Times New Roman"/>
                <w:lang w:eastAsia="ru-RU"/>
              </w:rPr>
              <w:t>1,58</w:t>
            </w:r>
          </w:p>
        </w:tc>
        <w:tc>
          <w:tcPr>
            <w:tcW w:w="283" w:type="dxa"/>
          </w:tcPr>
          <w:p w:rsidR="00076BCD" w:rsidRPr="00CD42CB" w:rsidRDefault="00076BCD" w:rsidP="00076BCD"/>
        </w:tc>
        <w:tc>
          <w:tcPr>
            <w:tcW w:w="2551" w:type="dxa"/>
            <w:vAlign w:val="center"/>
          </w:tcPr>
          <w:p w:rsidR="009266B9" w:rsidRDefault="00076BCD" w:rsidP="00076BCD">
            <w:pPr>
              <w:spacing w:line="257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Первый </w:t>
            </w:r>
            <w:proofErr w:type="spellStart"/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>диапозон</w:t>
            </w:r>
            <w:proofErr w:type="spellEnd"/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объемов потребления </w:t>
            </w:r>
          </w:p>
          <w:p w:rsidR="00076BCD" w:rsidRPr="00CD42CB" w:rsidRDefault="00076BCD" w:rsidP="00076BCD">
            <w:pPr>
              <w:spacing w:line="257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D42C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  <w:r w:rsidRPr="00CD42C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0 до 7 020 </w:t>
            </w:r>
            <w:proofErr w:type="spellStart"/>
            <w:r w:rsidRPr="00CD42C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410" w:type="dxa"/>
            <w:vAlign w:val="center"/>
          </w:tcPr>
          <w:p w:rsidR="00076BCD" w:rsidRPr="00CD42CB" w:rsidRDefault="00076BCD" w:rsidP="00076BCD">
            <w:pPr>
              <w:jc w:val="center"/>
            </w:pPr>
            <w:r w:rsidRPr="00CD42CB">
              <w:t>1,106</w:t>
            </w:r>
          </w:p>
        </w:tc>
      </w:tr>
      <w:tr w:rsidR="00076BCD" w:rsidTr="00076BCD">
        <w:tc>
          <w:tcPr>
            <w:tcW w:w="2660" w:type="dxa"/>
            <w:vAlign w:val="center"/>
          </w:tcPr>
          <w:p w:rsidR="009266B9" w:rsidRDefault="00076BCD" w:rsidP="00076BCD">
            <w:pPr>
              <w:spacing w:line="257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Второй </w:t>
            </w:r>
            <w:proofErr w:type="spellStart"/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>диапозон</w:t>
            </w:r>
            <w:proofErr w:type="spellEnd"/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объемов потребления </w:t>
            </w:r>
          </w:p>
          <w:p w:rsidR="00076BCD" w:rsidRPr="00CD42CB" w:rsidRDefault="00076BCD" w:rsidP="009266B9">
            <w:pPr>
              <w:spacing w:line="257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3 901 до 6 000 </w:t>
            </w:r>
            <w:proofErr w:type="spellStart"/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410" w:type="dxa"/>
            <w:vAlign w:val="center"/>
          </w:tcPr>
          <w:p w:rsidR="00076BCD" w:rsidRPr="00CD42CB" w:rsidRDefault="00076BCD" w:rsidP="00076BCD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D42CB">
              <w:rPr>
                <w:rFonts w:eastAsia="Times New Roman" w:cs="Times New Roman"/>
                <w:lang w:eastAsia="ru-RU"/>
              </w:rPr>
              <w:t>2,54</w:t>
            </w:r>
          </w:p>
        </w:tc>
        <w:tc>
          <w:tcPr>
            <w:tcW w:w="283" w:type="dxa"/>
          </w:tcPr>
          <w:p w:rsidR="00076BCD" w:rsidRPr="00CD42CB" w:rsidRDefault="00076BCD" w:rsidP="00076BCD"/>
        </w:tc>
        <w:tc>
          <w:tcPr>
            <w:tcW w:w="2551" w:type="dxa"/>
            <w:vAlign w:val="center"/>
          </w:tcPr>
          <w:p w:rsidR="009266B9" w:rsidRDefault="00076BCD" w:rsidP="00076BCD">
            <w:pPr>
              <w:spacing w:line="254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Второй </w:t>
            </w:r>
            <w:proofErr w:type="spellStart"/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>диапозон</w:t>
            </w:r>
            <w:proofErr w:type="spellEnd"/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объемов потребления </w:t>
            </w:r>
          </w:p>
          <w:p w:rsidR="00076BCD" w:rsidRPr="00CD42CB" w:rsidRDefault="00076BCD" w:rsidP="00076BCD">
            <w:pPr>
              <w:spacing w:line="254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D42C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  <w:r w:rsidRPr="00CD42C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7 021 до 10 800 </w:t>
            </w:r>
            <w:proofErr w:type="spellStart"/>
            <w:r w:rsidRPr="00CD42C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410" w:type="dxa"/>
            <w:vAlign w:val="center"/>
          </w:tcPr>
          <w:p w:rsidR="00076BCD" w:rsidRPr="00CD42CB" w:rsidRDefault="00076BCD" w:rsidP="00076BCD">
            <w:pPr>
              <w:jc w:val="center"/>
            </w:pPr>
            <w:r w:rsidRPr="00CD42CB">
              <w:t>1,778</w:t>
            </w:r>
          </w:p>
        </w:tc>
      </w:tr>
      <w:tr w:rsidR="00076BCD" w:rsidTr="00076BCD">
        <w:tc>
          <w:tcPr>
            <w:tcW w:w="2660" w:type="dxa"/>
            <w:vAlign w:val="center"/>
          </w:tcPr>
          <w:p w:rsidR="009266B9" w:rsidRDefault="00076BCD" w:rsidP="00076BCD">
            <w:pPr>
              <w:spacing w:line="262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Третий </w:t>
            </w:r>
            <w:proofErr w:type="spellStart"/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>диапозон</w:t>
            </w:r>
            <w:proofErr w:type="spellEnd"/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объемов потребления </w:t>
            </w:r>
          </w:p>
          <w:p w:rsidR="00076BCD" w:rsidRPr="00CD42CB" w:rsidRDefault="00076BCD" w:rsidP="00076BCD">
            <w:pPr>
              <w:spacing w:line="262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>свыше</w:t>
            </w:r>
            <w:proofErr w:type="gramEnd"/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6 000 </w:t>
            </w:r>
            <w:proofErr w:type="spellStart"/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410" w:type="dxa"/>
            <w:vAlign w:val="center"/>
          </w:tcPr>
          <w:p w:rsidR="00076BCD" w:rsidRPr="00CD42CB" w:rsidRDefault="00076BCD" w:rsidP="00076BCD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CD42CB">
              <w:rPr>
                <w:rFonts w:eastAsia="Times New Roman" w:cs="Times New Roman"/>
                <w:lang w:eastAsia="ru-RU"/>
              </w:rPr>
              <w:t>4,90</w:t>
            </w:r>
          </w:p>
        </w:tc>
        <w:tc>
          <w:tcPr>
            <w:tcW w:w="283" w:type="dxa"/>
          </w:tcPr>
          <w:p w:rsidR="00076BCD" w:rsidRPr="00CD42CB" w:rsidRDefault="00076BCD" w:rsidP="00076BCD"/>
        </w:tc>
        <w:tc>
          <w:tcPr>
            <w:tcW w:w="2551" w:type="dxa"/>
            <w:vAlign w:val="center"/>
          </w:tcPr>
          <w:p w:rsidR="009266B9" w:rsidRDefault="00076BCD" w:rsidP="00076BCD">
            <w:pPr>
              <w:spacing w:line="262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Третий </w:t>
            </w:r>
            <w:proofErr w:type="spellStart"/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>диапозон</w:t>
            </w:r>
            <w:proofErr w:type="spellEnd"/>
            <w:r w:rsidRPr="00CD42C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объемов потребления </w:t>
            </w:r>
          </w:p>
          <w:p w:rsidR="00076BCD" w:rsidRPr="00CD42CB" w:rsidRDefault="00076BCD" w:rsidP="00076BCD">
            <w:pPr>
              <w:spacing w:line="262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D42C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свыше</w:t>
            </w:r>
            <w:proofErr w:type="gramEnd"/>
            <w:r w:rsidRPr="00CD42C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10 800 </w:t>
            </w:r>
            <w:proofErr w:type="spellStart"/>
            <w:r w:rsidRPr="00CD42C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  <w:tc>
          <w:tcPr>
            <w:tcW w:w="2410" w:type="dxa"/>
            <w:vAlign w:val="center"/>
          </w:tcPr>
          <w:p w:rsidR="00076BCD" w:rsidRPr="00CD42CB" w:rsidRDefault="00076BCD" w:rsidP="00076BCD">
            <w:pPr>
              <w:jc w:val="center"/>
            </w:pPr>
            <w:r w:rsidRPr="00CD42CB">
              <w:t>3,43</w:t>
            </w:r>
          </w:p>
        </w:tc>
      </w:tr>
      <w:tr w:rsidR="00076BCD" w:rsidTr="00076BCD">
        <w:tc>
          <w:tcPr>
            <w:tcW w:w="2660" w:type="dxa"/>
          </w:tcPr>
          <w:p w:rsidR="00076BCD" w:rsidRDefault="00076BCD" w:rsidP="00E32CDB"/>
        </w:tc>
        <w:tc>
          <w:tcPr>
            <w:tcW w:w="2410" w:type="dxa"/>
          </w:tcPr>
          <w:p w:rsidR="00076BCD" w:rsidRDefault="00076BCD" w:rsidP="00E32CDB"/>
        </w:tc>
        <w:tc>
          <w:tcPr>
            <w:tcW w:w="283" w:type="dxa"/>
          </w:tcPr>
          <w:p w:rsidR="00076BCD" w:rsidRDefault="00076BCD" w:rsidP="00E32CDB"/>
        </w:tc>
        <w:tc>
          <w:tcPr>
            <w:tcW w:w="2551" w:type="dxa"/>
          </w:tcPr>
          <w:p w:rsidR="00076BCD" w:rsidRDefault="00076BCD" w:rsidP="00E32CDB"/>
        </w:tc>
        <w:tc>
          <w:tcPr>
            <w:tcW w:w="2410" w:type="dxa"/>
          </w:tcPr>
          <w:p w:rsidR="00076BCD" w:rsidRDefault="00076BCD" w:rsidP="00E32CDB"/>
        </w:tc>
      </w:tr>
    </w:tbl>
    <w:p w:rsidR="00CD42CB" w:rsidRDefault="00CD42CB" w:rsidP="00E32CDB">
      <w:pPr>
        <w:rPr>
          <w:rFonts w:eastAsia="Times New Roman" w:cs="Times New Roman"/>
          <w:szCs w:val="24"/>
          <w:lang w:eastAsia="ru-RU"/>
        </w:rPr>
      </w:pPr>
      <w:r w:rsidRPr="00E32CDB">
        <w:rPr>
          <w:rFonts w:eastAsia="Times New Roman" w:cs="Times New Roman"/>
          <w:szCs w:val="24"/>
          <w:lang w:eastAsia="ru-RU"/>
        </w:rPr>
        <w:t xml:space="preserve">**В соответствии с Постановлением Правительства Российской Федерации от 26.11.2024г. № 1628 </w:t>
      </w:r>
    </w:p>
    <w:p w:rsidR="00D7248C" w:rsidRDefault="00CD42CB" w:rsidP="00E32CDB">
      <w:r w:rsidRPr="00E32CDB">
        <w:rPr>
          <w:rFonts w:eastAsia="Times New Roman" w:cs="Times New Roman"/>
          <w:szCs w:val="24"/>
          <w:lang w:eastAsia="ru-RU"/>
        </w:rPr>
        <w:t>*** Приказ Службы по тарифам Иркутской области № 79-345-спр от 30.11,2024г.</w:t>
      </w:r>
    </w:p>
    <w:p w:rsidR="002E6A2C" w:rsidRPr="004C1B2C" w:rsidRDefault="002E6A2C" w:rsidP="004C1B2C">
      <w:pPr>
        <w:spacing w:after="160" w:line="259" w:lineRule="auto"/>
      </w:pPr>
      <w:bookmarkStart w:id="0" w:name="_GoBack"/>
      <w:bookmarkEnd w:id="0"/>
    </w:p>
    <w:sectPr w:rsidR="002E6A2C" w:rsidRPr="004C1B2C" w:rsidSect="00E32CDB">
      <w:pgSz w:w="11906" w:h="16838"/>
      <w:pgMar w:top="851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334"/>
    <w:multiLevelType w:val="hybridMultilevel"/>
    <w:tmpl w:val="0300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D71FD"/>
    <w:multiLevelType w:val="hybridMultilevel"/>
    <w:tmpl w:val="055A8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6C84"/>
    <w:rsid w:val="00076BCD"/>
    <w:rsid w:val="000A2D20"/>
    <w:rsid w:val="00196E7F"/>
    <w:rsid w:val="002E6A2C"/>
    <w:rsid w:val="004B31DE"/>
    <w:rsid w:val="004C1B2C"/>
    <w:rsid w:val="00543B9E"/>
    <w:rsid w:val="0059480C"/>
    <w:rsid w:val="0062448B"/>
    <w:rsid w:val="00884EEC"/>
    <w:rsid w:val="009266B9"/>
    <w:rsid w:val="00A62519"/>
    <w:rsid w:val="00AE207F"/>
    <w:rsid w:val="00C5485F"/>
    <w:rsid w:val="00CD42CB"/>
    <w:rsid w:val="00D45766"/>
    <w:rsid w:val="00D7248C"/>
    <w:rsid w:val="00E32CDB"/>
    <w:rsid w:val="00E412CF"/>
    <w:rsid w:val="00EB6C84"/>
    <w:rsid w:val="00FB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C4628-6CD9-455A-B11F-66E53248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E7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CD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32CDB"/>
    <w:pPr>
      <w:ind w:left="720"/>
      <w:contextualSpacing/>
    </w:pPr>
  </w:style>
  <w:style w:type="table" w:styleId="a5">
    <w:name w:val="Table Grid"/>
    <w:basedOn w:val="a1"/>
    <w:uiPriority w:val="39"/>
    <w:rsid w:val="00D72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byt.irkutskenergo.ru/qa/7020.html" TargetMode="External"/><Relationship Id="rId5" Type="http://schemas.openxmlformats.org/officeDocument/2006/relationships/hyperlink" Target="https://sbyt.irkutskenergo.ru/qa/702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Козяева Г.В.</dc:creator>
  <cp:keywords/>
  <dc:description/>
  <cp:lastModifiedBy>Козяева Г.В.</cp:lastModifiedBy>
  <cp:revision>10</cp:revision>
  <dcterms:created xsi:type="dcterms:W3CDTF">2024-12-23T06:17:00Z</dcterms:created>
  <dcterms:modified xsi:type="dcterms:W3CDTF">2024-12-23T09:03:00Z</dcterms:modified>
</cp:coreProperties>
</file>