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FB4" w:rsidRDefault="00271FB4" w:rsidP="00271FB4">
      <w:pPr>
        <w:pStyle w:val="Default"/>
        <w:jc w:val="center"/>
        <w:rPr>
          <w:b/>
          <w:bCs/>
          <w:sz w:val="28"/>
          <w:szCs w:val="28"/>
        </w:rPr>
      </w:pPr>
      <w:r w:rsidRPr="00554120">
        <w:rPr>
          <w:b/>
          <w:bCs/>
          <w:sz w:val="28"/>
          <w:szCs w:val="28"/>
        </w:rPr>
        <w:t>Анализ производственного травматизма и профессиональной заболеваемости в Иркутской области за 9 месяцев 2026 года</w:t>
      </w:r>
    </w:p>
    <w:p w:rsidR="00271FB4" w:rsidRPr="00554120" w:rsidRDefault="00271FB4" w:rsidP="00271FB4">
      <w:pPr>
        <w:pStyle w:val="Default"/>
        <w:jc w:val="center"/>
        <w:rPr>
          <w:sz w:val="28"/>
          <w:szCs w:val="28"/>
        </w:rPr>
      </w:pP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По данным Государственной инспекции труда в Иркутской области, за 9 месяцев 2026 года произошло 55 несчастных случаев с тяжелыми последствиями, связанных с производством и принятых к учету в нашем регионе в 48 организациях Иркутской области, что на 16,7% меньше, чем в аналогичном периоде 2025 года (66 случаев), из них:</w:t>
      </w: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- 45 тяжелых несчастных случаев (в 2025 году – 50 случаев);</w:t>
      </w: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- 8 смертельных несчастных случаев (в 2025 году – 13 случаев);</w:t>
      </w: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- 2 групповых несчастных случая (в 2025 году – 3 случая).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Общее количество погибших на производстве уменьшилось на 52,9% и составило в 2026 году 8 человек (в 2025 году – 17 человек).</w:t>
      </w: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Количество муниципальных образований, на территории которых зарегистрированы организации, допустившие за 9 месяцев 2026 года несчастные случаи на производстве с тяжелыми последствиями (групповые, тяжелые, смертельные), по сравнению с данными аналогичного периода 2025 года выросло на 6,3% (в 2026 году – 17 муниципальных образований, в 2025 году – 16 муниципальных образований).</w:t>
      </w: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 xml:space="preserve">Наиболее </w:t>
      </w:r>
      <w:proofErr w:type="spellStart"/>
      <w:r w:rsidRPr="00554120">
        <w:rPr>
          <w:sz w:val="28"/>
          <w:szCs w:val="28"/>
        </w:rPr>
        <w:t>травмоопасными</w:t>
      </w:r>
      <w:proofErr w:type="spellEnd"/>
      <w:r w:rsidRPr="00554120">
        <w:rPr>
          <w:sz w:val="28"/>
          <w:szCs w:val="28"/>
        </w:rPr>
        <w:t xml:space="preserve"> видами деятельности по итогам 9 месяцев 2026 года остаются обрабатывающие производства (17 случаев), добыча полезных ископаемых (8 случаев) и строительство (7 случаев). В данных отраслях произошло 58,2% от общего числа несчастных случаев на производстве в 2026 году (в 2025 году – 53%).</w:t>
      </w: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Распределение несчастных случаев на производстве за 9 месяцев 2026 года по видам экономической деятельности:</w:t>
      </w: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- 17 случаев (30,9%) – обрабатывающие производства (в 2025 году – 18 случаев (27,3%);</w:t>
      </w: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- 8 случаев (14,5%) – добыча полезных ископаемых (в 2025 году – 8 случаев (12,1%);</w:t>
      </w: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- 7 случаев (12,7%) – строительство (в 2025 году – 9 случаев (13,6%);</w:t>
      </w: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- 6 случаев (10,9%) – сельское, лесное хозяйство, охота, рыболовство и рыбоводство (в 2025 году – 8 случаев (12,1%);</w:t>
      </w:r>
    </w:p>
    <w:p w:rsidR="00271FB4" w:rsidRPr="00554120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>- по 3 случая (по 5,5%) – торговля оптовая и розничная, ремонт автотранспортных средств и мотоциклов (в 2025 году – 4 случая (6%); транспортировка и хранение (в 2025 году – 8 случаев (12,1%).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 w:rsidRPr="00554120">
        <w:rPr>
          <w:sz w:val="28"/>
          <w:szCs w:val="28"/>
        </w:rPr>
        <w:t xml:space="preserve">- по 2 несчастных случая (по 3,6%) – обеспечение электрической энергией, газом и паром; кондиционирование воздуха (в 2025 году – 1 случай (1,5%); водоснабжение, водоотведение, организация сбора и утилизации отходов, деятельность по ликвидации загрязнений (в 2025 году – 2 случая (3%); деятельность профессиональная, научная и техническая (в 2025 году – 4 случая (6%); государственное управление и обеспечение военной безопасности, социального обеспечения (в 2025 году – 1 случай (1,5%); </w:t>
      </w:r>
      <w:r w:rsidRPr="00554120">
        <w:rPr>
          <w:sz w:val="28"/>
          <w:szCs w:val="28"/>
        </w:rPr>
        <w:lastRenderedPageBreak/>
        <w:t xml:space="preserve">деятельность в области здравоохранения и социальных услуг (в 2025 году – 1 случай (1,5%); 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 несчастный случай (1,8%) – деятельность административная и сопутствующие дополнительные услуги (в 2025 году – 1 случай (1,5%). Пострадавшие со смертельным исходом в результате несчастных случаев на производстве за 9 месяцев 2026 года зарегистрированы в организациях строительства (2 чел., в 2025 году – 4 чел.), водоснабжения, водоотведения, организации сбора и утилизации отходов, деятельности по ликвидации загрязнений (2 чел., в 2025 году пострадавших не было); сельского, лесного хозяйства, охоты, рыболовства и рыбоводства (2 чел., в 2025 году – 4 чел.), добычи полезных ископаемых (1 чел., в 2025 году – 3 чел.), деятельности административной и сопутствующих услуг (1 чел., в 2025 году пострадавших не было), обрабатывающих производств (нет пострадавших, в 2025 году – 2 чел.), транспортировки и хранения (нет пострадавших, в 2025 году – 2 чел.), деятельности профессиональной, научной и технической (нет пострадавших, в 2025 году – 1 чел.), деятельность в области здравоохранения и социальных услуг (нет пострадавших, в 2025 году – 1 чел.). </w:t>
      </w:r>
    </w:p>
    <w:p w:rsidR="00271FB4" w:rsidRDefault="00271FB4" w:rsidP="00271FB4">
      <w:pPr>
        <w:pStyle w:val="Default"/>
        <w:ind w:firstLine="709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Типы (виды) происшествий. 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9 месяцев 2026 года несчастные случаи на производстве произошли в результате: 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падения пострадавшего с высоты (17 случаев, 30,9% от общего количества несчастных случаев (в 2025 году – 22 случая, 33,3%); 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воздействия движущихся, разлетающихся, вращающихся предметов, деталей, машин и т.д. (10 случаев, 18,2% (в 2025 году – 13 случаев, 19,7%); - падения, обрушения, обвалов предметов, материалов, земли и пр. (8 случаев, 14,5% (в 2025 году – 7 случаев, 10,6%); 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транспортных происшествий (6 случаев, 10,9% (в 2025 году – 13 случаев, 19,7%); - попадания инородного предмета в тело человека (5 случаев, 9,1% (в 2025 году – 1 случай, 1,5%);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повреждений в результате контакта с растениями, животными, насекомыми и пресмыкающимися (3 случая, 5,5% (в 2025 году – 2 случая, 3%); 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воздействия дыма, огня и пламени; воздействия электрического тока; воздействия других неклассифицированных травмирующих факторов (по 1 случаю, по 1,8% (в 2025 году – по 2 случая, по 3%); 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повреждений в результате противоправных действий других лиц (1 случай, 1,8% (в 2025 году – 1 случай, 1,5%); 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воздействия экстремальных температур и других природных факторов, воздействия вредных веществ (по 1 случаю, по 1,8% (в 2025 году несчастных случаев данных типов не зарегистрировано). </w:t>
      </w:r>
    </w:p>
    <w:p w:rsidR="00271FB4" w:rsidRDefault="00271FB4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Несчастные случаи со смертельным исходом произошли в результате транспортных происшествий (3 случая), падения, обрушения, обвалов предметов, материалов, земли и пр. (2 случая), падения пострадавшего с высоты, воздействия дыма, огня и пламени, воздействия вредных веществ (по 1 случаю).</w:t>
      </w:r>
    </w:p>
    <w:p w:rsidR="00154AB3" w:rsidRDefault="00154AB3" w:rsidP="00271FB4">
      <w:pPr>
        <w:pStyle w:val="Default"/>
        <w:ind w:firstLine="709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 xml:space="preserve">Причины производственного травматизма. </w:t>
      </w:r>
    </w:p>
    <w:p w:rsidR="00154AB3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причинами несчастных случаев на производстве за 9 месяцев 2026 года стали: </w:t>
      </w:r>
    </w:p>
    <w:p w:rsidR="00154AB3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неудовлетворительная организация производства работ – 16 случаев, 29% (в 2025 году – 10 случаев, 15,2%); </w:t>
      </w:r>
    </w:p>
    <w:p w:rsidR="00154AB3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нарушение технологического процесса – 6 случаев, 10,9% (в 2025 году – 11 случаев, 16,7%); </w:t>
      </w:r>
    </w:p>
    <w:p w:rsidR="00154AB3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нарушение работником трудового распорядка и дисциплины труда – 5 случаев, 9% (в 2025 году – 6 случаев, 9,1%); </w:t>
      </w:r>
    </w:p>
    <w:p w:rsidR="007E7CE8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4 случая (по 7,3%) – конструктивные недостатки и недостаточная надежность машин, механизмов, оборудования (в 2025 году – 1 случай, 1,5%); нарушение правил дорожного движения (в 2025 году – 9 случаев, 13,6%); </w:t>
      </w:r>
    </w:p>
    <w:p w:rsidR="007E7CE8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2 случая (по 3,6%) – неудовлетворительное техническое состояние зданий, сооружений, территории (в 2025 году – 2 случая, 3%); неудовлетворительное содержание и недостатки в организации рабочих мест (в 2025 году – 1 случай, 1,5%); </w:t>
      </w:r>
    </w:p>
    <w:p w:rsidR="007E7CE8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1 несчастному случаю (по 1,8%) произошло по следующим причинам: нарушение требований безопасности при эксплуатации транспортных средств (в 2025 году – 2 случая, 3%), несовершенство технологического процесса (в 2025 году – 3 случая, 4,5%); </w:t>
      </w:r>
    </w:p>
    <w:p w:rsidR="007E7CE8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неприменение работником средств индивидуальной защиты (в 2025 году 2 случая, 3%); неприменение средств коллективной защиты (в 2025 году – 2 случая, 3,6%).</w:t>
      </w:r>
    </w:p>
    <w:p w:rsidR="007E7CE8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Прочие причины, квалифицированные по материалам расследования несчастных случаев, зафиксированы в 12 случаях, 21,8% (в 2025 году – 14 случаев, 21,2%). </w:t>
      </w:r>
    </w:p>
    <w:p w:rsidR="007E7CE8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Причинами смертельных несчастных случаев стали за 9 месяцев 2026 года неудовлетворительная организация производства работ (2 случая); а также конструктивные недостатки и недостаточная надежность машин, механизмов, оборудования; нарушение технологического процесса; нарушение требований безопасности при эксплуатации транспортных средств; нарушение правил дорожного движения; неудовлетворительное содержание и недостатки в организации рабочих мест; нарушение работником трудового распорядка и дисциплины труда (по 1 случаю). </w:t>
      </w:r>
    </w:p>
    <w:p w:rsidR="007E7CE8" w:rsidRDefault="007E7CE8" w:rsidP="00271FB4">
      <w:pPr>
        <w:pStyle w:val="Default"/>
        <w:ind w:firstLine="709"/>
        <w:jc w:val="both"/>
        <w:rPr>
          <w:sz w:val="28"/>
          <w:szCs w:val="28"/>
        </w:rPr>
      </w:pPr>
    </w:p>
    <w:p w:rsidR="007E7CE8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анализа актов расследования несчастных случаев на производстве выявлено, что больше всего несчастных случаев произошло с работниками, управляющими транспортным средством от легкового автомобиля до специализированной техники (бульдозер, экскаватор) – 23,6% пострадавших. Удельный вес работников иных профессий и занятий составляет менее 10%. </w:t>
      </w:r>
    </w:p>
    <w:p w:rsidR="007E7CE8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несчастных случаев в зависимости от возраста пострадавшего, стажа работы по данной профессии, класса условий труда на рабочем месте:</w:t>
      </w:r>
    </w:p>
    <w:p w:rsidR="007E7CE8" w:rsidRPr="00D27C51" w:rsidRDefault="00154AB3" w:rsidP="00271FB4">
      <w:pPr>
        <w:pStyle w:val="Default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 </w:t>
      </w:r>
      <w:r w:rsidRPr="00D27C51">
        <w:rPr>
          <w:sz w:val="28"/>
          <w:szCs w:val="28"/>
          <w:u w:val="single"/>
        </w:rPr>
        <w:t xml:space="preserve">В зависимости от возраста пострадавшего работника: </w:t>
      </w:r>
    </w:p>
    <w:p w:rsidR="007E7CE8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 30 лет – 9 человек, 15,5% от общего числа пострадавших; </w:t>
      </w:r>
    </w:p>
    <w:p w:rsidR="007E7CE8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30 до 50 лет – 30 человек, 51,7%; </w:t>
      </w:r>
    </w:p>
    <w:p w:rsidR="00154AB3" w:rsidRDefault="00154AB3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старше 50 лет – 19 человек, 32,8%.</w:t>
      </w:r>
    </w:p>
    <w:p w:rsidR="00C10A00" w:rsidRDefault="00C10A00" w:rsidP="00271FB4">
      <w:pPr>
        <w:pStyle w:val="Default"/>
        <w:ind w:firstLine="709"/>
        <w:jc w:val="both"/>
        <w:rPr>
          <w:sz w:val="28"/>
          <w:szCs w:val="28"/>
          <w:u w:val="single"/>
        </w:rPr>
      </w:pPr>
    </w:p>
    <w:p w:rsidR="00C10A00" w:rsidRPr="00C10A00" w:rsidRDefault="00D27C51" w:rsidP="00271FB4">
      <w:pPr>
        <w:pStyle w:val="Default"/>
        <w:ind w:firstLine="709"/>
        <w:jc w:val="both"/>
        <w:rPr>
          <w:sz w:val="28"/>
          <w:szCs w:val="28"/>
          <w:u w:val="single"/>
        </w:rPr>
      </w:pPr>
      <w:r w:rsidRPr="00C10A00">
        <w:rPr>
          <w:sz w:val="28"/>
          <w:szCs w:val="28"/>
          <w:u w:val="single"/>
        </w:rPr>
        <w:t>В зависимости от стажа работы в данной профессии:</w:t>
      </w:r>
    </w:p>
    <w:p w:rsidR="00C10A00" w:rsidRDefault="00D27C51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до 5 лет – 23 пострадавших, 42,6% от общего числа пострадавших на производстве; </w:t>
      </w:r>
    </w:p>
    <w:p w:rsidR="00C10A00" w:rsidRDefault="00D27C51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5 до 10 лет – 12 пострадавших, 22,2%; </w:t>
      </w:r>
    </w:p>
    <w:p w:rsidR="00C10A00" w:rsidRDefault="00D27C51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10 до 20 лет – 11 пострадавших, 20,4%; </w:t>
      </w:r>
    </w:p>
    <w:p w:rsidR="00C10A00" w:rsidRDefault="00D27C51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более 20 лет стажа – 8 пострадавших, 14,8%. </w:t>
      </w:r>
    </w:p>
    <w:p w:rsidR="00C10A00" w:rsidRPr="00C10A00" w:rsidRDefault="00D27C51" w:rsidP="00271FB4">
      <w:pPr>
        <w:pStyle w:val="Default"/>
        <w:ind w:firstLine="709"/>
        <w:jc w:val="both"/>
        <w:rPr>
          <w:sz w:val="28"/>
          <w:szCs w:val="28"/>
          <w:u w:val="single"/>
        </w:rPr>
      </w:pPr>
      <w:r w:rsidRPr="00C10A00">
        <w:rPr>
          <w:sz w:val="28"/>
          <w:szCs w:val="28"/>
          <w:u w:val="single"/>
        </w:rPr>
        <w:t xml:space="preserve">В зависимости от класса условий труда на рабочем месте пострадавшего: </w:t>
      </w:r>
    </w:p>
    <w:p w:rsidR="00C10A00" w:rsidRDefault="00D27C51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КУТ 2 – 11 человек, 20,4%; </w:t>
      </w:r>
    </w:p>
    <w:p w:rsidR="00C10A00" w:rsidRDefault="00D27C51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КУТ 3.1 – 15 человек, 27,8%; </w:t>
      </w:r>
    </w:p>
    <w:p w:rsidR="00C10A00" w:rsidRDefault="00D27C51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КУТ 3.2 – 11 человек, 20,4%; </w:t>
      </w:r>
    </w:p>
    <w:p w:rsidR="00C10A00" w:rsidRDefault="00D27C51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КУТ 3.3 – 3 человека, 5,5%; </w:t>
      </w:r>
    </w:p>
    <w:p w:rsidR="00C10A00" w:rsidRDefault="00D27C51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КУТ 4 – 2 человека, 3,7%; </w:t>
      </w:r>
    </w:p>
    <w:p w:rsidR="00C10A00" w:rsidRDefault="00D27C51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10A00">
        <w:rPr>
          <w:sz w:val="28"/>
          <w:szCs w:val="28"/>
        </w:rPr>
        <w:t> </w:t>
      </w:r>
      <w:r>
        <w:rPr>
          <w:sz w:val="28"/>
          <w:szCs w:val="28"/>
        </w:rPr>
        <w:t xml:space="preserve">СОУТ не проводилась – 11 человек, 20,4%. </w:t>
      </w:r>
    </w:p>
    <w:p w:rsidR="004839C1" w:rsidRDefault="004839C1" w:rsidP="00271FB4">
      <w:pPr>
        <w:pStyle w:val="Default"/>
        <w:ind w:firstLine="709"/>
        <w:jc w:val="both"/>
        <w:rPr>
          <w:sz w:val="28"/>
          <w:szCs w:val="28"/>
        </w:rPr>
      </w:pPr>
    </w:p>
    <w:p w:rsidR="004839C1" w:rsidRPr="004839C1" w:rsidRDefault="004839C1" w:rsidP="004839C1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839C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 </w:t>
      </w:r>
      <w:proofErr w:type="spellStart"/>
      <w:r w:rsidRPr="004839C1">
        <w:rPr>
          <w:rFonts w:ascii="Times New Roman" w:hAnsi="Times New Roman" w:cs="Times New Roman"/>
          <w:b/>
          <w:i/>
          <w:sz w:val="28"/>
          <w:szCs w:val="28"/>
          <w:u w:val="single"/>
        </w:rPr>
        <w:t>Зиминском</w:t>
      </w:r>
      <w:proofErr w:type="spellEnd"/>
      <w:r w:rsidRPr="004839C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городском округе </w:t>
      </w:r>
      <w:r w:rsidR="00FB3D1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 9 месяцев </w:t>
      </w:r>
      <w:r w:rsidRPr="004839C1">
        <w:rPr>
          <w:rFonts w:ascii="Times New Roman" w:hAnsi="Times New Roman" w:cs="Times New Roman"/>
          <w:b/>
          <w:i/>
          <w:sz w:val="28"/>
          <w:szCs w:val="28"/>
          <w:u w:val="single"/>
        </w:rPr>
        <w:t>2026 года несчастных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4839C1">
        <w:rPr>
          <w:rFonts w:ascii="Times New Roman" w:hAnsi="Times New Roman" w:cs="Times New Roman"/>
          <w:b/>
          <w:i/>
          <w:sz w:val="28"/>
          <w:szCs w:val="28"/>
          <w:u w:val="single"/>
        </w:rPr>
        <w:t>случаев не зарегистрировано, как и в аналогичном периоде прошлого года.</w:t>
      </w:r>
    </w:p>
    <w:p w:rsidR="00C10A00" w:rsidRDefault="00C10A00" w:rsidP="00271FB4">
      <w:pPr>
        <w:pStyle w:val="Default"/>
        <w:ind w:firstLine="709"/>
        <w:jc w:val="both"/>
        <w:rPr>
          <w:sz w:val="28"/>
          <w:szCs w:val="28"/>
        </w:rPr>
      </w:pPr>
    </w:p>
    <w:p w:rsidR="00C10A00" w:rsidRDefault="00D27C51" w:rsidP="00271F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данным Управления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по Иркутской области, за 9 месяцев 2026 года было зарегистрировано 96 случаев профессиональных заболеваний (отравлений) у 81 пострадавшего, у 15 пострадавших было установлено по 2 и более диагноза профессионального заболевания (за 9 месяцев 2025 года – 135 случаев профзаболеваний у 118 пострадавших). </w:t>
      </w:r>
    </w:p>
    <w:p w:rsidR="00E62DEE" w:rsidRDefault="00D27C51" w:rsidP="00E62DE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разрезе административных территорий пострадавшие с диагнозом профессиональное заболевание (отравление) были выявлены в 11 административных территориях: г. Иркутск (22), г. Черемхово (13), </w:t>
      </w:r>
      <w:proofErr w:type="spellStart"/>
      <w:r>
        <w:rPr>
          <w:sz w:val="28"/>
          <w:szCs w:val="28"/>
        </w:rPr>
        <w:t>Тулунском</w:t>
      </w:r>
      <w:proofErr w:type="spellEnd"/>
      <w:r>
        <w:rPr>
          <w:sz w:val="28"/>
          <w:szCs w:val="28"/>
        </w:rPr>
        <w:t xml:space="preserve"> районе (12), г. Усть-Илимск и </w:t>
      </w:r>
      <w:proofErr w:type="spellStart"/>
      <w:r>
        <w:rPr>
          <w:sz w:val="28"/>
          <w:szCs w:val="28"/>
        </w:rPr>
        <w:t>Усть-Илимский</w:t>
      </w:r>
      <w:proofErr w:type="spellEnd"/>
      <w:r>
        <w:rPr>
          <w:sz w:val="28"/>
          <w:szCs w:val="28"/>
        </w:rPr>
        <w:t xml:space="preserve"> муниципальный округ (12), </w:t>
      </w:r>
      <w:proofErr w:type="spellStart"/>
      <w:r>
        <w:rPr>
          <w:sz w:val="28"/>
          <w:szCs w:val="28"/>
        </w:rPr>
        <w:t>Шелеховский</w:t>
      </w:r>
      <w:proofErr w:type="spellEnd"/>
      <w:r>
        <w:rPr>
          <w:sz w:val="28"/>
          <w:szCs w:val="28"/>
        </w:rPr>
        <w:t xml:space="preserve"> район (8), </w:t>
      </w:r>
      <w:proofErr w:type="spellStart"/>
      <w:r>
        <w:rPr>
          <w:sz w:val="28"/>
          <w:szCs w:val="28"/>
        </w:rPr>
        <w:t>Нижнеилимский</w:t>
      </w:r>
      <w:proofErr w:type="spellEnd"/>
      <w:r>
        <w:rPr>
          <w:sz w:val="28"/>
          <w:szCs w:val="28"/>
        </w:rPr>
        <w:t xml:space="preserve"> р-н (4), </w:t>
      </w:r>
      <w:proofErr w:type="spellStart"/>
      <w:r>
        <w:rPr>
          <w:sz w:val="28"/>
          <w:szCs w:val="28"/>
        </w:rPr>
        <w:t>Бодайбинский</w:t>
      </w:r>
      <w:proofErr w:type="spellEnd"/>
      <w:r>
        <w:rPr>
          <w:sz w:val="28"/>
          <w:szCs w:val="28"/>
        </w:rPr>
        <w:t xml:space="preserve"> округ (3), Чунский муниципальный округ (3), г. Братск (2), </w:t>
      </w:r>
      <w:proofErr w:type="spellStart"/>
      <w:r>
        <w:rPr>
          <w:sz w:val="28"/>
          <w:szCs w:val="28"/>
        </w:rPr>
        <w:t>Тайшетский</w:t>
      </w:r>
      <w:proofErr w:type="spellEnd"/>
      <w:r>
        <w:rPr>
          <w:sz w:val="28"/>
          <w:szCs w:val="28"/>
        </w:rPr>
        <w:t xml:space="preserve"> муниципальный округ (1), г. Саянск (1).</w:t>
      </w:r>
    </w:p>
    <w:p w:rsidR="00E62DEE" w:rsidRDefault="00E62DEE" w:rsidP="00E62DEE">
      <w:pPr>
        <w:pStyle w:val="Default"/>
        <w:ind w:firstLine="709"/>
        <w:jc w:val="both"/>
        <w:rPr>
          <w:sz w:val="28"/>
          <w:szCs w:val="28"/>
        </w:rPr>
      </w:pPr>
    </w:p>
    <w:p w:rsidR="00E62DEE" w:rsidRPr="00E62DEE" w:rsidRDefault="00E62DEE" w:rsidP="00E62DEE">
      <w:pPr>
        <w:pStyle w:val="Default"/>
        <w:ind w:firstLine="709"/>
        <w:jc w:val="both"/>
        <w:rPr>
          <w:sz w:val="28"/>
          <w:szCs w:val="28"/>
        </w:rPr>
      </w:pPr>
      <w:r w:rsidRPr="00E62DEE">
        <w:rPr>
          <w:b/>
          <w:i/>
          <w:sz w:val="28"/>
          <w:szCs w:val="28"/>
          <w:u w:val="single"/>
        </w:rPr>
        <w:t xml:space="preserve">В </w:t>
      </w:r>
      <w:proofErr w:type="spellStart"/>
      <w:r w:rsidRPr="00E62DEE">
        <w:rPr>
          <w:b/>
          <w:i/>
          <w:sz w:val="28"/>
          <w:szCs w:val="28"/>
          <w:u w:val="single"/>
        </w:rPr>
        <w:t>Зиминском</w:t>
      </w:r>
      <w:proofErr w:type="spellEnd"/>
      <w:r w:rsidRPr="00E62DEE">
        <w:rPr>
          <w:b/>
          <w:i/>
          <w:sz w:val="28"/>
          <w:szCs w:val="28"/>
          <w:u w:val="single"/>
        </w:rPr>
        <w:t xml:space="preserve"> городском округе </w:t>
      </w:r>
      <w:r w:rsidR="00DC3CC8">
        <w:rPr>
          <w:b/>
          <w:i/>
          <w:sz w:val="28"/>
          <w:szCs w:val="28"/>
          <w:u w:val="single"/>
        </w:rPr>
        <w:t>за 9 месяцев</w:t>
      </w:r>
      <w:r w:rsidRPr="00E62DEE">
        <w:rPr>
          <w:b/>
          <w:i/>
          <w:sz w:val="28"/>
          <w:szCs w:val="28"/>
          <w:u w:val="single"/>
        </w:rPr>
        <w:t xml:space="preserve"> 2026 года случаев</w:t>
      </w:r>
      <w:r>
        <w:rPr>
          <w:b/>
          <w:i/>
          <w:sz w:val="28"/>
          <w:szCs w:val="28"/>
          <w:u w:val="single"/>
        </w:rPr>
        <w:t xml:space="preserve"> </w:t>
      </w:r>
      <w:r w:rsidRPr="00E62DEE">
        <w:rPr>
          <w:b/>
          <w:i/>
          <w:sz w:val="28"/>
          <w:szCs w:val="28"/>
          <w:u w:val="single"/>
        </w:rPr>
        <w:t>профессиональных заболеваний не зарегистрировано, как и в аналогичном</w:t>
      </w:r>
      <w:r>
        <w:rPr>
          <w:b/>
          <w:i/>
          <w:sz w:val="28"/>
          <w:szCs w:val="28"/>
          <w:u w:val="single"/>
        </w:rPr>
        <w:t xml:space="preserve"> </w:t>
      </w:r>
      <w:r w:rsidRPr="00E62DEE">
        <w:rPr>
          <w:b/>
          <w:i/>
          <w:sz w:val="28"/>
          <w:szCs w:val="28"/>
          <w:u w:val="single"/>
        </w:rPr>
        <w:t>периоде прошлого года.</w:t>
      </w:r>
    </w:p>
    <w:p w:rsidR="00E62DEE" w:rsidRDefault="00E62DEE" w:rsidP="00271FB4">
      <w:pPr>
        <w:pStyle w:val="Default"/>
        <w:ind w:firstLine="709"/>
        <w:jc w:val="both"/>
        <w:rPr>
          <w:sz w:val="28"/>
          <w:szCs w:val="28"/>
        </w:rPr>
      </w:pPr>
    </w:p>
    <w:sectPr w:rsidR="00E62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characterSpacingControl w:val="doNotCompress"/>
  <w:compat>
    <w:useFELayout/>
  </w:compat>
  <w:rsids>
    <w:rsidRoot w:val="00271FB4"/>
    <w:rsid w:val="00154AB3"/>
    <w:rsid w:val="00271FB4"/>
    <w:rsid w:val="004839C1"/>
    <w:rsid w:val="007E7CE8"/>
    <w:rsid w:val="00C10A00"/>
    <w:rsid w:val="00D27C51"/>
    <w:rsid w:val="00DC3CC8"/>
    <w:rsid w:val="00E62DEE"/>
    <w:rsid w:val="00FB3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1F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1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1429</Words>
  <Characters>8146</Characters>
  <Application>Microsoft Office Word</Application>
  <DocSecurity>0</DocSecurity>
  <Lines>67</Lines>
  <Paragraphs>19</Paragraphs>
  <ScaleCrop>false</ScaleCrop>
  <Company/>
  <LinksUpToDate>false</LinksUpToDate>
  <CharactersWithSpaces>9556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Солдатенко Н.В.</dc:creator>
  <cp:keywords/>
  <dc:description/>
  <cp:lastModifiedBy>Солдатенко Н.В.</cp:lastModifiedBy>
  <cp:revision>10</cp:revision>
  <dcterms:created xsi:type="dcterms:W3CDTF">2026-10-27T02:37:00Z</dcterms:created>
  <dcterms:modified xsi:type="dcterms:W3CDTF">2026-10-27T02:48:00Z</dcterms:modified>
</cp:coreProperties>
</file>