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апреля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МОНИТОРИНГЕ И АНАЛИЗЕ</w:t>
      </w:r>
    </w:p>
    <w:p>
      <w:pPr>
        <w:pStyle w:val="2"/>
        <w:jc w:val="center"/>
      </w:pPr>
      <w:r>
        <w:rPr>
          <w:sz w:val="20"/>
        </w:rPr>
        <w:t xml:space="preserve">РЕЗУЛЬТАТОВ РАССМОТРЕНИЯ ОБРАЩЕНИЙ ГРАЖДАН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history="0" w:anchor="P15" w:tooltip="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">
        <w:r>
          <w:rPr>
            <w:sz w:val="20"/>
            <w:color w:val="0000ff"/>
          </w:rPr>
          <w:t xml:space="preserve">подпунктом "б" пункта 2</w:t>
        </w:r>
      </w:hyperlink>
      <w:r>
        <w:rPr>
          <w:sz w:val="20"/>
        </w:rP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Уполномоченная некоммерческая организация: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обеспечивает органам местного самоуправления доступ к указанным в </w:t>
      </w:r>
      <w:hyperlink w:history="0" w:anchor="P20" w:tooltip="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с 1 июля 2017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апреля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171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17.04.2017 N 171</w:t>
            <w:br/>
            <w:t>"О мониторинге и анализе результатов рассмотрения обращений граждан и организаций...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17.04.2017 N 171 "О мониторинге и анализе результатов рассмотрения обращений граждан и организаций...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17.04.2017 N 171
"О мониторинге и анализе результатов рассмотрения обращений граждан и организаций"</dc:title>
  <dcterms:created xsi:type="dcterms:W3CDTF">2022-10-06T05:40:08Z</dcterms:created>
</cp:coreProperties>
</file>