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1E" w:rsidRPr="00DE171E" w:rsidRDefault="00DE171E" w:rsidP="00516BAA">
      <w:pPr>
        <w:shd w:val="clear" w:color="auto" w:fill="FFFFFF"/>
        <w:spacing w:after="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</w:rPr>
        <w:t>Изменения в охране туда в 2020 году</w:t>
      </w: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Новый порядок </w:t>
      </w:r>
      <w:proofErr w:type="spellStart"/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спецоценки</w:t>
      </w:r>
      <w:proofErr w:type="spellEnd"/>
    </w:p>
    <w:p w:rsidR="00DE171E" w:rsidRPr="00DE171E" w:rsidRDefault="00DE171E" w:rsidP="00260FC6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 настоящее время на рассмотрении в Госдуме находится </w:t>
      </w:r>
      <w:hyperlink r:id="rId5" w:history="1"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законопроект № 769142-7</w:t>
        </w:r>
      </w:hyperlink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 внесении изменений в Федеральный закон «О специальной оценке условий труда». По мнению экспертов, его примут уже в ближайшее время. Что нужно знать об изменениях?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Спецоценку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2020 году будут считать завершенной только после выгрузки данных во ФГИС, а не после утверждения отчета председателем комиссии, как сейчас. Изменения в законе «О специальной оценке условий труда»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обязует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работодателя требовать от экспертной организации подтвердить размещение сведений о проведенной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спецоценке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 ФГИС.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Таким образом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Роструд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делегирует свои функции по контролю загрузки данных о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спецоценке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работодателя, оставляя за собой контроль за исполнением работодателем и экспертной организации обязанности по загрузке отчета о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спецоценке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информационную систему.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Для этой цели введут обязанность экспертной организации информировать работодателя о том, что отчет загружен, ему присвоен уникальный номер, и написать об этом письмо с подтверждением.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Организация, проводящая специальную оценку условий труда, обязана будет </w:t>
      </w:r>
      <w:r w:rsidRPr="00DE171E">
        <w:rPr>
          <w:rFonts w:ascii="Times New Roman" w:eastAsia="Times New Roman" w:hAnsi="Times New Roman" w:cs="Times New Roman"/>
          <w:b/>
          <w:bCs/>
          <w:color w:val="000000"/>
          <w:sz w:val="27"/>
        </w:rPr>
        <w:t>в течение трех рабочих дней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 с даты передачи в информационную систему учета указанных сведений, уведомить работодателя о такой передаче в форме электронного документа, подписанного квалифицированной электронной подписью, либо на бумажном носителе в виде почтового отправления с уведомлением о вручении.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7"/>
        </w:rPr>
        <w:t>Таким образом, в 2020 году СОУТ будут проводить по-новому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Если отчет о ее проведении не будет выгружен во ФГИС, ее не будут считать проведенной вообще. Это означает, что работодателю нужно осуществлять строгий отбор экспертной организации, и внести в договор оказания услуг указание, что оплата за проведенную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спецоценку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будет произведена только после получения отчета о загрузке данных во ФГИС, и не ранее.</w:t>
      </w:r>
    </w:p>
    <w:p w:rsidR="00260FC6" w:rsidRDefault="00260FC6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0FC6" w:rsidRDefault="00260FC6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Какие условия труда окажутся под запретом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Еще одно изменение может коснуться предприятий с опасными условиями труда. Если по результатам 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"https://vip.1otruda.ru/" \l "/document/16/38583/" </w:instrTex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DE171E">
        <w:rPr>
          <w:rFonts w:ascii="Times New Roman" w:eastAsia="Times New Roman" w:hAnsi="Times New Roman" w:cs="Times New Roman"/>
          <w:color w:val="1990FE"/>
          <w:sz w:val="27"/>
          <w:u w:val="single"/>
        </w:rPr>
        <w:t>спецоценки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 на рабочем месте установят IV класс, то деятельность работодателя приостановят. Именно так ук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азано в проекте Х раздела ТК РФ.</w:t>
      </w:r>
    </w:p>
    <w:p w:rsidR="00DE171E" w:rsidRPr="00DE171E" w:rsidRDefault="00DE171E" w:rsidP="00260FC6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возобновить работу предприятия, работодателю нужно будет утвердить план по улучшению условий и охраны труда, а также провести внеплановую </w:t>
      </w:r>
      <w:hyperlink r:id="rId6" w:anchor="/document/16/38583/" w:history="1">
        <w:r w:rsidRPr="00DE171E">
          <w:rPr>
            <w:rFonts w:ascii="Times New Roman" w:eastAsia="Times New Roman" w:hAnsi="Times New Roman" w:cs="Times New Roman"/>
            <w:color w:val="1990FE"/>
            <w:sz w:val="27"/>
            <w:u w:val="single"/>
          </w:rPr>
          <w:t>СОУТ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На время приостановки сотрудников, занятым на таких рабочих местах придется перевестись на другое рабочее место. Необходимо сохранить за ними среднюю заработную плату.</w:t>
      </w: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Новые требования к специалисту по охране труда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Как только вступит в силу обновленный Х раздел Трудового кодекса РФ, должность специалиста по охране труда станет обязательной, если на предприятии численность работников составляет более 100 человек. Если в компании меньше 100 сотрудников и нет специалиста по охране труда, то функции по охране труда сможет выполнять:</w:t>
      </w:r>
    </w:p>
    <w:p w:rsidR="00DE171E" w:rsidRPr="00DE171E" w:rsidRDefault="00DE171E" w:rsidP="00DE171E">
      <w:pPr>
        <w:numPr>
          <w:ilvl w:val="0"/>
          <w:numId w:val="2"/>
        </w:numPr>
        <w:shd w:val="clear" w:color="auto" w:fill="FFFFFF"/>
        <w:spacing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организации или предприниматель;</w:t>
      </w:r>
    </w:p>
    <w:p w:rsidR="00DE171E" w:rsidRPr="00DE171E" w:rsidRDefault="00DE171E" w:rsidP="00DE171E">
      <w:pPr>
        <w:numPr>
          <w:ilvl w:val="0"/>
          <w:numId w:val="2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уполномоченный работодателем сотрудник предприятия;</w:t>
      </w:r>
    </w:p>
    <w:p w:rsidR="00DE171E" w:rsidRPr="00DE171E" w:rsidRDefault="00DE171E" w:rsidP="00DE171E">
      <w:pPr>
        <w:numPr>
          <w:ilvl w:val="0"/>
          <w:numId w:val="2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предприниматель или организация по гражданско-правовому договору.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Напомним, что в настоящее время должность специалиста по ОТ нужно вводить, если в компании 50 и более работающих.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Введение новшеств в Х раздел ТК РФ не означает, что специалиста по охране труда необходимо уволить, если организация маленькая. Работы у специалиста по охране труда только прибавится.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Обратите внимание! Заключить договор на оказание услуг по охране труда можно будет только с </w:t>
      </w:r>
      <w:hyperlink r:id="rId7" w:history="1"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 xml:space="preserve">аккредитованной компанией, которая включена в </w:t>
        </w:r>
        <w:proofErr w:type="spellStart"/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спецреестр</w:t>
        </w:r>
        <w:proofErr w:type="spellEnd"/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 xml:space="preserve"> Минтруда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60FC6" w:rsidRDefault="00260FC6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0FC6" w:rsidRDefault="00260FC6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Как изменится порядок расследования несчастных случаев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Вступление в силу новой</w:t>
      </w:r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редакции Трудового кодекса РФ 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ориентировочно во второй половине 2020 года повлечет за собой изменения в порядке расследования несчастных случаев на производстве.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Помимо несчастных случаев и профзаболеваний, появится такое понятие как микроповреждения (микротравмы). Работодатель будет обязан учитывать их, проводить расследование, анализировать обстоятельства их возникновения и причины, по которым такие повреждения стали возможными.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Микротравмы в большинстве случаев возникают по причине нарушения требований охраны труда, требований к организации рабочих мест и трудового процесса. Они часто становятся предвестниками более серьезных повреждений здоровья работников (несчастных случаев или профессиональных заболеваний).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 законопроекте предложено ввести учет и рассмотрение таких случаев. Действующее законодательство не устанавливает обязанность работодателя принимать какие-либо меры в случае получения работниками микроповреждений. Расследуют только те повреждения, которые привели к утрате трудоспособности.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только законопроект примут, от работодателя потребуется провести оценку всех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профрисков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, проверить, как в инструкции по охране труда прописаны меры безопасности работника при выполнении ими любых манипуляций, которые чреваты опасностью микротравм.</w:t>
      </w: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будет изменен порядок медосмотра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npa=61220" w:history="1">
        <w:proofErr w:type="spellStart"/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Минздравосцразвития</w:t>
        </w:r>
        <w:proofErr w:type="spellEnd"/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 xml:space="preserve"> разработал законопроект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об изменении Приказа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Минздравсоцразвития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(обследования)». На данный момент законопроект находится </w:t>
      </w:r>
      <w:hyperlink r:id="rId9" w:anchor="npa=61220" w:history="1"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на сайте проектов нормативных правовых актов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Какие изменения ждут компании, если проект официально вступит в силу? В частности, ведомство планирует отменить паспорт здоровья. Кроме этого, будет 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разработан механизм передачи медицинских заключений работодателю. В настоящее время он не прописан — в действующем Приказе № 302н указано, что заключение выдается на руки работнику, что подразумевает хранение его у самого работника, и не обязывает передавать результаты медосмотра своему работодателю. Но в этом случае нарушается обязанность работодателя не допускать к труду лиц, имеющих медицинские противопоказания.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в медицинском заключении не будут указаны сведения, которые относятся к врачебной тайне. Работодателю будет доступна информация только о том, имеет ли работник ограничения к труду.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важное изменение касается и возможности направлять работников на внеочередной медосмотр после длительного больничного у работника. Раньше такой возможности у работодателя не было, и некоторые сотрудники злоупотребляли этим. Так что все грядущие изменения в приказ являются для работодателей позитивными.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Еще одно изменение — передача одного экземпляра заключительного акта в ФСС, в том случае, если планируется возмещение затрат на предупредительные меры за счет страховых взносов, уплаченных на страхование от производственного травматизма.</w:t>
      </w: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рисков станет обязательной на этапе ввода производства</w:t>
      </w:r>
    </w:p>
    <w:p w:rsidR="00DE171E" w:rsidRPr="00DE171E" w:rsidRDefault="00DE171E" w:rsidP="00260FC6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214 статья новой редакции раздела Х ТК РФ</w:t>
      </w:r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вводит новый термин — </w:t>
      </w:r>
      <w:r w:rsidRPr="00DE171E">
        <w:rPr>
          <w:rFonts w:ascii="Times New Roman" w:eastAsia="Times New Roman" w:hAnsi="Times New Roman" w:cs="Times New Roman"/>
          <w:b/>
          <w:bCs/>
          <w:color w:val="000000"/>
          <w:sz w:val="27"/>
        </w:rPr>
        <w:t>комплексная оценка технического и организационного уровня рабочего места, а также оценка факторов производственной среды и трудового процесса, которые могут вызвать повреждения здоровья работников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Эта оценка будет включать в себя определение профессиональных рисков перед вводом в эксплуатацию производственных объектов, </w:t>
      </w:r>
      <w:hyperlink r:id="rId10" w:history="1"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специальную оценку условий труда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, и постоянную </w:t>
      </w:r>
      <w:hyperlink r:id="rId11" w:history="1">
        <w:r w:rsidRPr="00DE171E">
          <w:rPr>
            <w:rFonts w:ascii="Times New Roman" w:eastAsia="Times New Roman" w:hAnsi="Times New Roman" w:cs="Times New Roman"/>
            <w:b/>
            <w:bCs/>
            <w:color w:val="1990FE"/>
            <w:sz w:val="27"/>
            <w:u w:val="single"/>
          </w:rPr>
          <w:t>оценку и анализ производственных рисков</w:t>
        </w:r>
      </w:hyperlink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 на всех этапах производства товаров, работ и услуг.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 настоящее время оценка рисков предприятия является обязательной процедурой, поскольку упоминается в 212 статье ТК РФ, но ее юридический и методический механизмы до сих пор не прописаны в нормативно-правовом акте. Будем надеяться, что и этот пробел будет заполнен к началу действия обновленной редакции Трудового Кодекса РФ.</w:t>
      </w:r>
    </w:p>
    <w:p w:rsidR="00DE171E" w:rsidRPr="00DE171E" w:rsidRDefault="00DE171E" w:rsidP="00DE171E">
      <w:pPr>
        <w:shd w:val="clear" w:color="auto" w:fill="FFFFFF"/>
        <w:spacing w:after="0" w:line="49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Станет обязательным ведение реестра НПА, которые содержат требования охраны труда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вступлением в силу Х раздела Трудового кодекса РФ (ID проекта на портале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regulation.gov.ru</w:t>
      </w:r>
      <w:proofErr w:type="spellEnd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00/03-22750/01-15/28-13-4) становится обязательным ведение работодателем реестра (перечня) нормативных правовых актов. Для доступа работников предприятия к этим нормативным актам, руководитель компании может использовать не только бумажные версии, но и электронные базы данных.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В нынешней редакции ТК РФ требуется иметь в наличии комплект нормативно-правовых актов. Таким образом становится очевидным, что иметь бумажный комплект НПА в будущем станет не обязательно, как сейчас, если работникам будет</w:t>
      </w:r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 доступ к электронной базе данных.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Поэтому, когда Х раздел Трудового кодекса вступит в силу, </w:t>
      </w:r>
      <w:r w:rsidRPr="00DE171E">
        <w:rPr>
          <w:rFonts w:ascii="Times New Roman" w:eastAsia="Times New Roman" w:hAnsi="Times New Roman" w:cs="Times New Roman"/>
          <w:b/>
          <w:bCs/>
          <w:color w:val="000000"/>
          <w:sz w:val="27"/>
        </w:rPr>
        <w:t>работодатель должен выбрать — размещать эти нормативные правовые акты на своем корпоративном портале или установить компьютер с электронной базой данной документов по охране труда для ознакомления каждого работника</w:t>
      </w: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E171E" w:rsidRPr="00DE171E" w:rsidRDefault="00DE171E" w:rsidP="00DE171E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Что включить в перечень нормативных правовых актов: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Трудовой Кодекс РФ,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по охране труда, касающиеся деятельности предприятия,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нормы выдачи средств индивидуальной защиты,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нормы выдачи смывающих и обезвреживающих средств,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 проведения обязательного психиатрического освидетельствования, предварительного и периодического медосмотров</w:t>
      </w:r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санитарные нормы и правила</w:t>
      </w:r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порядок проведения </w:t>
      </w:r>
      <w:proofErr w:type="spellStart"/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спецоценки</w:t>
      </w:r>
      <w:proofErr w:type="spellEnd"/>
      <w:r w:rsidR="00260FC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DE171E" w:rsidRPr="00DE171E" w:rsidRDefault="00DE171E" w:rsidP="00DE171E">
      <w:pPr>
        <w:numPr>
          <w:ilvl w:val="0"/>
          <w:numId w:val="3"/>
        </w:numPr>
        <w:shd w:val="clear" w:color="auto" w:fill="FFFFFF"/>
        <w:spacing w:before="225" w:after="0" w:line="405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71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технические регламенты таможенного союза и другие документы, на которых будете ссылаться в своих локальных нормативных актах и т. п.</w:t>
      </w:r>
    </w:p>
    <w:p w:rsidR="00DE171E" w:rsidRPr="00DE171E" w:rsidRDefault="00DE171E" w:rsidP="00DE171E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0C01" w:rsidRPr="00DE171E" w:rsidRDefault="006E0C01">
      <w:pPr>
        <w:rPr>
          <w:rFonts w:ascii="Times New Roman" w:hAnsi="Times New Roman" w:cs="Times New Roman"/>
        </w:rPr>
      </w:pPr>
    </w:p>
    <w:sectPr w:rsidR="006E0C01" w:rsidRPr="00DE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D7D"/>
    <w:multiLevelType w:val="multilevel"/>
    <w:tmpl w:val="7E00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12D8E"/>
    <w:multiLevelType w:val="multilevel"/>
    <w:tmpl w:val="D89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57896"/>
    <w:multiLevelType w:val="multilevel"/>
    <w:tmpl w:val="A61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E171E"/>
    <w:rsid w:val="00260FC6"/>
    <w:rsid w:val="00516BAA"/>
    <w:rsid w:val="006E0C01"/>
    <w:rsid w:val="00DE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1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1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E171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E17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E171E"/>
    <w:rPr>
      <w:b/>
      <w:bCs/>
    </w:rPr>
  </w:style>
  <w:style w:type="character" w:styleId="a6">
    <w:name w:val="Emphasis"/>
    <w:basedOn w:val="a0"/>
    <w:uiPriority w:val="20"/>
    <w:qFormat/>
    <w:rsid w:val="00DE171E"/>
    <w:rPr>
      <w:i/>
      <w:iCs/>
    </w:rPr>
  </w:style>
  <w:style w:type="character" w:customStyle="1" w:styleId="lwptocitemlabel">
    <w:name w:val="lwptoc_item_label"/>
    <w:basedOn w:val="a0"/>
    <w:rsid w:val="00DE171E"/>
  </w:style>
  <w:style w:type="paragraph" w:styleId="a7">
    <w:name w:val="Balloon Text"/>
    <w:basedOn w:val="a"/>
    <w:link w:val="a8"/>
    <w:uiPriority w:val="99"/>
    <w:semiHidden/>
    <w:unhideWhenUsed/>
    <w:rsid w:val="00DE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07787">
                  <w:marLeft w:val="-36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58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23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16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2693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20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525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9363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ko1.ru/konsalting-po-ohrane-tru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coko1.ru/upravlenie-riskami/" TargetMode="External"/><Relationship Id="rId5" Type="http://schemas.openxmlformats.org/officeDocument/2006/relationships/hyperlink" Target="https://sozd.duma.gov.ru/bill/769142-7" TargetMode="External"/><Relationship Id="rId10" Type="http://schemas.openxmlformats.org/officeDocument/2006/relationships/hyperlink" Target="https://coko1.ru/articles/protection/specialnaya-ocenka-uslovij-truda-chto-dolzhen-znat-rabotodat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ulation.go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2022-03-22T01:10:00Z</dcterms:created>
  <dcterms:modified xsi:type="dcterms:W3CDTF">2022-03-22T02:39:00Z</dcterms:modified>
</cp:coreProperties>
</file>