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ind w:left="-283.46456692913375" w:firstLine="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</w:rPr>
        <w:drawing>
          <wp:inline distB="114300" distT="114300" distL="114300" distR="114300">
            <wp:extent cx="2731127" cy="172646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31127" cy="17264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ind w:left="-283.46456692913375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ПРЕСС-РЕЛИЗ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8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Ответы на частые вопросы о ходе мусорной реформы от жителей Иркутской области</w:t>
      </w:r>
    </w:p>
    <w:p w:rsidR="00000000" w:rsidDel="00000000" w:rsidP="00000000" w:rsidRDefault="00000000" w:rsidRPr="00000000" w14:paraId="00000004">
      <w:pPr>
        <w:spacing w:line="240" w:lineRule="auto"/>
        <w:ind w:left="8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07.2021</w:t>
      </w:r>
    </w:p>
    <w:p w:rsidR="00000000" w:rsidDel="00000000" w:rsidP="00000000" w:rsidRDefault="00000000" w:rsidRPr="00000000" w14:paraId="00000006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На каком основании ООО “РТ-НЭО Иркутск” оказывает услуги по обращению с ТКО? </w:t>
      </w:r>
    </w:p>
    <w:p w:rsidR="00000000" w:rsidDel="00000000" w:rsidP="00000000" w:rsidRDefault="00000000" w:rsidRPr="00000000" w14:paraId="00000008">
      <w:pPr>
        <w:spacing w:after="360" w:lineRule="auto"/>
        <w:ind w:left="708.661417322834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 2018 года в Иркутской области, наряду с другими субъектами РФ, началось внедрение новой системы обращения ТКО. По результатам конкурсного отбора статусом регионального оператора по обращению с твердыми коммунальными отходами Зоны 2 «Юг» наделено ООО «РТ-НЭО ИРКУТСК». </w:t>
      </w:r>
    </w:p>
    <w:p w:rsidR="00000000" w:rsidDel="00000000" w:rsidP="00000000" w:rsidRDefault="00000000" w:rsidRPr="00000000" w14:paraId="00000009">
      <w:pPr>
        <w:spacing w:after="360" w:lineRule="auto"/>
        <w:ind w:left="708.661417322834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28 апреля 2018 года между ООО «РТ-НЭО ИРКУТСК» и Министерством жилищной политики, энергетики и транспорта Иркутской области заключено соглашение об организации деятельности по обращению с ТКО на территории Иркутской области (Зона 2 «Юг»).</w:t>
      </w:r>
    </w:p>
    <w:p w:rsidR="00000000" w:rsidDel="00000000" w:rsidP="00000000" w:rsidRDefault="00000000" w:rsidRPr="00000000" w14:paraId="0000000A">
      <w:pPr>
        <w:spacing w:after="360" w:lineRule="auto"/>
        <w:ind w:left="708.6614173228347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Данное обстоятельство предполагает наличие исключительного права ООО «РТ-НЭО ИРКУТСК» на обращение с ТКО на территории Иркутской области (Зона 2 «Юг»). В связи с указанным, в целях соблюдения действующего законодательства, необходимо заключить договор на обращение с ТКО с региональным оператором - ООО «РТ-НЭО ИРКУТСК».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Договор с региональным оператором заключен не был. Условия вывоза и оплаты услуг разъяснены не были. Почему сейчас мы должны платить?</w:t>
      </w:r>
    </w:p>
    <w:p w:rsidR="00000000" w:rsidDel="00000000" w:rsidP="00000000" w:rsidRDefault="00000000" w:rsidRPr="00000000" w14:paraId="0000000C">
      <w:pPr>
        <w:spacing w:line="276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Договор с региональным оператором действует в форме публичной оферты с 17 января 2019 г. для всех жителей зоны 2 Юг. Подробнее с условиями договора можно ознакомиться на сайте регионального оператора: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 </w:t>
        </w:r>
      </w:hyperlink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rtneo-irk.ru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.</w:t>
      </w:r>
    </w:p>
    <w:p w:rsidR="00000000" w:rsidDel="00000000" w:rsidP="00000000" w:rsidRDefault="00000000" w:rsidRPr="00000000" w14:paraId="0000000D">
      <w:pPr>
        <w:spacing w:line="276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Услуга регионального оператора считается оказанной в полной мере в том случае, если в населенном пункте установлены площадки, и региональный оператор на регулярной основе осуществляет вывоз ТКО с этих площадок.</w:t>
      </w:r>
    </w:p>
    <w:p w:rsidR="00000000" w:rsidDel="00000000" w:rsidP="00000000" w:rsidRDefault="00000000" w:rsidRPr="00000000" w14:paraId="0000000E">
      <w:pPr>
        <w:spacing w:line="276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Какая зона ответственности у регионального оператора?</w:t>
      </w:r>
    </w:p>
    <w:p w:rsidR="00000000" w:rsidDel="00000000" w:rsidP="00000000" w:rsidRDefault="00000000" w:rsidRPr="00000000" w14:paraId="00000010">
      <w:pPr>
        <w:spacing w:line="276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Согласно ФЗ№ 89, в зону ответственности регионального оператора входит обращение с ТКО с момента их погрузки в мусоровоз. В зону ответственности органов МСУ и частных компаний входит обустройство контейнерной площадки и наблюдение за ее санитарным состоянием.</w:t>
      </w:r>
    </w:p>
    <w:p w:rsidR="00000000" w:rsidDel="00000000" w:rsidP="00000000" w:rsidRDefault="00000000" w:rsidRPr="00000000" w14:paraId="00000011">
      <w:pPr>
        <w:spacing w:line="276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Иными словами, органы местного самоуправления и УК создают и содержат контейнерную площадку, на которой накапливается ТКО, организуют своевременную уборку территории и систематическое наблюдение за  её санитарным состоянием, региональный оператор в свою очередь собирает мусор в мусоровозы и с этого момента отвечает за его транспортировку, обезвреживание, утилизацию и захоронение.</w:t>
      </w:r>
    </w:p>
    <w:p w:rsidR="00000000" w:rsidDel="00000000" w:rsidP="00000000" w:rsidRDefault="00000000" w:rsidRPr="00000000" w14:paraId="00000012">
      <w:pPr>
        <w:spacing w:line="276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Почему период выставления счетов начинается раньше, чем была произведена установка контейнеров? </w:t>
      </w:r>
    </w:p>
    <w:p w:rsidR="00000000" w:rsidDel="00000000" w:rsidP="00000000" w:rsidRDefault="00000000" w:rsidRPr="00000000" w14:paraId="00000014">
      <w:pPr>
        <w:spacing w:line="276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Договор с региональным оператором считается заключенным с момента предоставления услуги соответственно,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егиональный оператор “ООО РТ-НЭО Иркутск” начинает производить начисления потребителям по счетам с момента оказания услуги по обращению с ТКО. </w:t>
      </w:r>
    </w:p>
    <w:p w:rsidR="00000000" w:rsidDel="00000000" w:rsidP="00000000" w:rsidRDefault="00000000" w:rsidRPr="00000000" w14:paraId="00000015">
      <w:pPr>
        <w:spacing w:line="276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Ввиду недостаточной контейнерной инфраструктуры в некоторых населённых пунктах, 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сли вблизи вашего дома не было контейнерных площадок, но мусор вы выбрасывали на ближайшие доступные площадки, то их тоже обслуживал региональный оператор, поэтому услуга считается оказанной в полной мере. </w:t>
      </w:r>
    </w:p>
    <w:p w:rsidR="00000000" w:rsidDel="00000000" w:rsidP="00000000" w:rsidRDefault="00000000" w:rsidRPr="00000000" w14:paraId="00000016">
      <w:pPr>
        <w:spacing w:line="276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Как рассчитывали норматив накопления отходов?</w:t>
      </w:r>
    </w:p>
    <w:p w:rsidR="00000000" w:rsidDel="00000000" w:rsidP="00000000" w:rsidRDefault="00000000" w:rsidRPr="00000000" w14:paraId="00000018">
      <w:pPr>
        <w:spacing w:line="276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Норматив образования отходов указан в приказе №58-28-Мпр Министерства жилищной политики, энергетики и транспорта Иркутской области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 </w:t>
        </w:r>
      </w:hyperlink>
      <w:hyperlink r:id="rId10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u w:val="single"/>
            <w:rtl w:val="0"/>
          </w:rPr>
          <w:t xml:space="preserve">http://rtneo-irk.ru/upload/menu/58-28-mpr.pdf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 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ормативы установленные данными приказами для п. Новонукутский составляют: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76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исходя из общей площади жилого помещения - 0,063 м3 (с 1 м2).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76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исходя из количества проживающих 1,56 м3 (с 1 человека).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ind w:left="708.6614173228347" w:right="5.66929133858309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Приказом министерства жилищной политики, энергетики и транспорта Иркутской области от 28.12.2018 № 139-мпр “Об оплате коммунальной услуги по обращению с твердыми коммунальными отходами” установлено, что на территории Иркутской области оплата потребителями коммунальной услуги по обращению с твердыми коммунальными отходами осуществляется исходя из общей площади жилого помещения.</w:t>
      </w:r>
    </w:p>
    <w:p w:rsidR="00000000" w:rsidDel="00000000" w:rsidP="00000000" w:rsidRDefault="00000000" w:rsidRPr="00000000" w14:paraId="0000001E">
      <w:pPr>
        <w:spacing w:line="240" w:lineRule="auto"/>
        <w:ind w:left="708.6614173228347" w:right="5.66929133858309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Приказом министерства жилищной политики, энергетики и транспорта Иркутской области от 24.12.2019 № 58-53-мпр “О внесении изменений в приказ министерства жилищной политики, энергетики и транспорта Иркутской области от 28 декабря 2018 года № 139-мпр” установлен перечень муниципальных образований Иркутской области в которых оплата потребителями коммунальной услуги по обращению с твердыми коммунальными отходами осуществляется исходя из количества граждан постоянно и(или) временно проживающих в жилом помещении.  Вместе с тем, Новонукутского муниципального образования среди них нет. </w:t>
      </w:r>
    </w:p>
    <w:p w:rsidR="00000000" w:rsidDel="00000000" w:rsidP="00000000" w:rsidRDefault="00000000" w:rsidRPr="00000000" w14:paraId="0000001F">
      <w:pPr>
        <w:spacing w:line="276" w:lineRule="auto"/>
        <w:ind w:left="72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Кто установил нормы оплаты за оказанные услуги - с площади или по проживающим? </w:t>
      </w:r>
    </w:p>
    <w:p w:rsidR="00000000" w:rsidDel="00000000" w:rsidP="00000000" w:rsidRDefault="00000000" w:rsidRPr="00000000" w14:paraId="00000021">
      <w:pPr>
        <w:spacing w:line="276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Сумма оплаты услуг может рассчитываться или от количества проживающих, или от общей площади помещения. Способ расчёта устанавливает муниципалитет. </w:t>
      </w:r>
    </w:p>
    <w:p w:rsidR="00000000" w:rsidDel="00000000" w:rsidP="00000000" w:rsidRDefault="00000000" w:rsidRPr="00000000" w14:paraId="00000022">
      <w:pPr>
        <w:spacing w:line="276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Муниципальное образование вправе провести голосование и выбрать оптимальный способ расчета для своих жителей. В случае, если муниципальное образование не предоставило данные о выборе способа начисления исходя из количества проживающих, расчет оплаты производится исходя из площади помещения, так как этот способ расчета считается стандартным.</w:t>
      </w:r>
    </w:p>
    <w:p w:rsidR="00000000" w:rsidDel="00000000" w:rsidP="00000000" w:rsidRDefault="00000000" w:rsidRPr="00000000" w14:paraId="00000023">
      <w:pPr>
        <w:spacing w:line="276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Региональный оператор готов произвести перерасчет начислений, в случае, если площадь жилого дома включает в себя гараж, баню и холодные пристройки.</w:t>
      </w:r>
    </w:p>
    <w:p w:rsidR="00000000" w:rsidDel="00000000" w:rsidP="00000000" w:rsidRDefault="00000000" w:rsidRPr="00000000" w14:paraId="00000024">
      <w:pPr>
        <w:spacing w:line="276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Почему не довели информацию до жителей поселков?</w:t>
      </w:r>
    </w:p>
    <w:p w:rsidR="00000000" w:rsidDel="00000000" w:rsidP="00000000" w:rsidRDefault="00000000" w:rsidRPr="00000000" w14:paraId="00000026">
      <w:pPr>
        <w:spacing w:line="276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Информация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 том, что ООО "РТ-НЭО Иркутск" с 01.01.2019 года является единственным Региональным оператором зоны-2 "Юг" была опубликована в г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азете "Областная" №145/1902 от 26 декабря 2018 г. на странице 33 (электронный вариант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https://www.ogirk.ru/wp-content/uploads/sm-issue-print/2018/12/dok-145-1902-17-40.pdf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).</w:t>
        <w:br w:type="textWrapping"/>
        <w:t xml:space="preserve">Органы местного самоуправления городских и сельских поселений, муниципальных районов и городских округов с 01.01.2019 г. наделены полномочиями по организации информирования населения, экологического воспитания и формирования экологической культуры в области обращения с ТКО, соответственно, все муниципалитеты должны были сообщить жителям про изменения в области предоставления услуг по обращения с ТКО и подать данные о жителях региональному оператору.</w:t>
      </w:r>
    </w:p>
    <w:p w:rsidR="00000000" w:rsidDel="00000000" w:rsidP="00000000" w:rsidRDefault="00000000" w:rsidRPr="00000000" w14:paraId="00000027">
      <w:pPr>
        <w:spacing w:line="276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Услуга оказана некачественно. За что платить?</w:t>
      </w:r>
    </w:p>
    <w:p w:rsidR="00000000" w:rsidDel="00000000" w:rsidP="00000000" w:rsidRDefault="00000000" w:rsidRPr="00000000" w14:paraId="00000029">
      <w:pPr>
        <w:spacing w:line="276" w:lineRule="auto"/>
        <w:ind w:left="720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данный момент точность графика вывоза ТКО составляет 98,8% по всей Зоне Юг-2, а охват услугой регионального оператора составляет </w:t>
      </w:r>
      <w:r w:rsidDel="00000000" w:rsidR="00000000" w:rsidRPr="00000000">
        <w:rPr>
          <w:rFonts w:ascii="Times" w:cs="Times" w:eastAsia="Times" w:hAnsi="Times"/>
          <w:rtl w:val="0"/>
        </w:rPr>
        <w:t xml:space="preserve"> 92% и включает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33 МО. Информацию о срывах все потребители могут найти на сайте регионального оператора в разделе “Места накопления отходов”. Все это говорит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об исполнении обязательств со стороны регионального оператора.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В соответствии со ст. 153 Жилищного кодекса РФ все граждане обязаны своевременно и в полном объеме вносить плату за оказанные коммунальные услуги, к которым относится и услуга по обращению с ТКО (ст. 154 ЖК РФ).</w:t>
      </w:r>
    </w:p>
    <w:p w:rsidR="00000000" w:rsidDel="00000000" w:rsidP="00000000" w:rsidRDefault="00000000" w:rsidRPr="00000000" w14:paraId="0000002B">
      <w:pPr>
        <w:spacing w:line="276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Почему региональный оператор не убирает мусор, просыпавшийся на КП?</w:t>
      </w:r>
    </w:p>
    <w:p w:rsidR="00000000" w:rsidDel="00000000" w:rsidP="00000000" w:rsidRDefault="00000000" w:rsidRPr="00000000" w14:paraId="0000002D">
      <w:pPr>
        <w:spacing w:line="276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За накопление и сбор ТКО, а также за создание и содержание мест для накопления ТКО отвечает собственник площадки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органы местного самоуправления или коммерческие организации. Если ТКО просыпается при погрузке из контейнеров в мусоровоз, то сотрудник регионального оператора собирает его. </w:t>
      </w:r>
    </w:p>
    <w:p w:rsidR="00000000" w:rsidDel="00000000" w:rsidP="00000000" w:rsidRDefault="00000000" w:rsidRPr="00000000" w14:paraId="0000002E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Почему счета были выставлены за 2 года?</w:t>
      </w:r>
    </w:p>
    <w:p w:rsidR="00000000" w:rsidDel="00000000" w:rsidP="00000000" w:rsidRDefault="00000000" w:rsidRPr="00000000" w14:paraId="00000030">
      <w:pPr>
        <w:spacing w:line="276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огласно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ФЗ № 89 собственники обязаны заключить договор с региональным оператором и подать данные о себе. </w:t>
      </w:r>
    </w:p>
    <w:p w:rsidR="00000000" w:rsidDel="00000000" w:rsidP="00000000" w:rsidRDefault="00000000" w:rsidRPr="00000000" w14:paraId="00000031">
      <w:pPr>
        <w:spacing w:line="276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В случаях, если информация не была предоставлена, региональный оператор вынужден брать информацию из Росреестра, что учитывая объем данных, занимает продолжительное время. </w:t>
      </w:r>
    </w:p>
    <w:p w:rsidR="00000000" w:rsidDel="00000000" w:rsidP="00000000" w:rsidRDefault="00000000" w:rsidRPr="00000000" w14:paraId="00000032">
      <w:pPr>
        <w:spacing w:line="276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Почему мы обязаны платить, если имеет место быть экологический сбор?</w:t>
      </w:r>
    </w:p>
    <w:p w:rsidR="00000000" w:rsidDel="00000000" w:rsidP="00000000" w:rsidRDefault="00000000" w:rsidRPr="00000000" w14:paraId="00000034">
      <w:pPr>
        <w:spacing w:line="276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Экологический сбор не входит в тариф регионального оператора и никак не покрывает оказываемые региональным оператором услуги по обращению с ТКО.</w:t>
      </w:r>
    </w:p>
    <w:p w:rsidR="00000000" w:rsidDel="00000000" w:rsidP="00000000" w:rsidRDefault="00000000" w:rsidRPr="00000000" w14:paraId="0000003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Связаться с региональным оператором по всем интересующим вопросам можно по номеру горячей линии 8 (3952) 43-44-11, на почте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contact@rtneo-irk.ru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.</w:t>
      </w:r>
    </w:p>
    <w:p w:rsidR="00000000" w:rsidDel="00000000" w:rsidP="00000000" w:rsidRDefault="00000000" w:rsidRPr="00000000" w14:paraId="00000037">
      <w:pPr>
        <w:spacing w:line="240" w:lineRule="auto"/>
        <w:ind w:left="708.6614173228347" w:firstLine="0"/>
        <w:jc w:val="both"/>
        <w:rPr>
          <w:rFonts w:ascii="Times" w:cs="Times" w:eastAsia="Times" w:hAnsi="Times"/>
          <w:i w:val="1"/>
          <w:color w:val="1a1a1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ind w:left="708.6614173228347" w:firstLine="0"/>
        <w:jc w:val="both"/>
        <w:rPr>
          <w:rFonts w:ascii="Times" w:cs="Times" w:eastAsia="Times" w:hAnsi="Times"/>
          <w:i w:val="1"/>
          <w:color w:val="1a1a1a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i w:val="1"/>
          <w:color w:val="1a1a1a"/>
          <w:sz w:val="24"/>
          <w:szCs w:val="24"/>
          <w:rtl w:val="0"/>
        </w:rPr>
        <w:t xml:space="preserve">Пресс-служба регионального оператора по обращению с ТКО в Зоне 2-юг Иркутской области ООО “РТ-НЭО Иркутск”</w:t>
      </w:r>
    </w:p>
    <w:p w:rsidR="00000000" w:rsidDel="00000000" w:rsidP="00000000" w:rsidRDefault="00000000" w:rsidRPr="00000000" w14:paraId="00000039">
      <w:pPr>
        <w:spacing w:line="240" w:lineRule="auto"/>
        <w:ind w:left="708.6614173228347" w:firstLine="0"/>
        <w:jc w:val="both"/>
        <w:rPr>
          <w:rFonts w:ascii="Times" w:cs="Times" w:eastAsia="Times" w:hAnsi="Times"/>
          <w:i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i w:val="1"/>
          <w:color w:val="535353"/>
          <w:sz w:val="24"/>
          <w:szCs w:val="24"/>
          <w:rtl w:val="0"/>
        </w:rPr>
        <w:t xml:space="preserve">Т: </w:t>
      </w:r>
      <w:r w:rsidDel="00000000" w:rsidR="00000000" w:rsidRPr="00000000">
        <w:rPr>
          <w:rFonts w:ascii="Times" w:cs="Times" w:eastAsia="Times" w:hAnsi="Times"/>
          <w:i w:val="1"/>
          <w:color w:val="535353"/>
          <w:sz w:val="24"/>
          <w:szCs w:val="24"/>
          <w:highlight w:val="white"/>
          <w:rtl w:val="0"/>
        </w:rPr>
        <w:t xml:space="preserve">89148717826 </w:t>
      </w:r>
      <w:r w:rsidDel="00000000" w:rsidR="00000000" w:rsidRPr="00000000">
        <w:rPr>
          <w:rFonts w:ascii="Times" w:cs="Times" w:eastAsia="Times" w:hAnsi="Times"/>
          <w:i w:val="1"/>
          <w:color w:val="535353"/>
          <w:sz w:val="24"/>
          <w:szCs w:val="24"/>
          <w:rtl w:val="0"/>
        </w:rPr>
        <w:t xml:space="preserve">| Иркутск, ул. Лермонтова, д. 337Б |</w:t>
      </w:r>
      <w:hyperlink r:id="rId13">
        <w:r w:rsidDel="00000000" w:rsidR="00000000" w:rsidRPr="00000000">
          <w:rPr>
            <w:rFonts w:ascii="Times" w:cs="Times" w:eastAsia="Times" w:hAnsi="Times"/>
            <w:i w:val="1"/>
            <w:color w:val="535353"/>
            <w:sz w:val="24"/>
            <w:szCs w:val="24"/>
            <w:rtl w:val="0"/>
          </w:rPr>
          <w:t xml:space="preserve"> </w:t>
        </w:r>
      </w:hyperlink>
      <w:hyperlink r:id="rId14">
        <w:r w:rsidDel="00000000" w:rsidR="00000000" w:rsidRPr="00000000">
          <w:rPr>
            <w:rFonts w:ascii="Times" w:cs="Times" w:eastAsia="Times" w:hAnsi="Times"/>
            <w:i w:val="1"/>
            <w:color w:val="1155cc"/>
            <w:sz w:val="24"/>
            <w:szCs w:val="24"/>
            <w:u w:val="single"/>
            <w:rtl w:val="0"/>
          </w:rPr>
          <w:t xml:space="preserve">https://rtneo-irk.ru/</w:t>
        </w:r>
      </w:hyperlink>
      <w:r w:rsidDel="00000000" w:rsidR="00000000" w:rsidRPr="00000000">
        <w:rPr>
          <w:rFonts w:ascii="Times" w:cs="Times" w:eastAsia="Times" w:hAnsi="Times"/>
          <w:i w:val="1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ind w:left="708.6614173228347" w:firstLine="0"/>
        <w:jc w:val="both"/>
        <w:rPr>
          <w:rFonts w:ascii="Times" w:cs="Times" w:eastAsia="Times" w:hAnsi="Times"/>
          <w:i w:val="1"/>
          <w:sz w:val="24"/>
          <w:szCs w:val="24"/>
          <w:highlight w:val="yellow"/>
        </w:rPr>
      </w:pPr>
      <w:hyperlink r:id="rId15">
        <w:r w:rsidDel="00000000" w:rsidR="00000000" w:rsidRPr="00000000">
          <w:rPr>
            <w:rFonts w:ascii="Times" w:cs="Times" w:eastAsia="Times" w:hAnsi="Times"/>
            <w:i w:val="1"/>
            <w:color w:val="1155cc"/>
            <w:sz w:val="24"/>
            <w:szCs w:val="24"/>
            <w:highlight w:val="white"/>
            <w:u w:val="single"/>
            <w:rtl w:val="0"/>
          </w:rPr>
          <w:t xml:space="preserve">press@rtneo-irk.ru</w:t>
        </w:r>
      </w:hyperlink>
      <w:r w:rsidDel="00000000" w:rsidR="00000000" w:rsidRPr="00000000">
        <w:rPr>
          <w:rFonts w:ascii="Times" w:cs="Times" w:eastAsia="Times" w:hAnsi="Times"/>
          <w:i w:val="1"/>
          <w:color w:val="5f6368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ind w:left="708.6614173228347" w:firstLine="0"/>
        <w:jc w:val="center"/>
        <w:rPr>
          <w:rFonts w:ascii="Times" w:cs="Times" w:eastAsia="Times" w:hAnsi="Times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" w:cs="Times" w:eastAsia="Times" w:hAnsi="Times"/>
          <w:i w:val="1"/>
          <w:sz w:val="24"/>
          <w:szCs w:val="24"/>
          <w:rtl w:val="0"/>
        </w:rPr>
        <w:t xml:space="preserve">PR-менеджер ООО “РТ-НЭО Ирутск” Иванова Лия </w:t>
      </w:r>
      <w:hyperlink r:id="rId16">
        <w:r w:rsidDel="00000000" w:rsidR="00000000" w:rsidRPr="00000000">
          <w:rPr>
            <w:rFonts w:ascii="Times" w:cs="Times" w:eastAsia="Times" w:hAnsi="Times"/>
            <w:i w:val="1"/>
            <w:color w:val="1155cc"/>
            <w:sz w:val="24"/>
            <w:szCs w:val="24"/>
            <w:highlight w:val="white"/>
            <w:u w:val="single"/>
            <w:rtl w:val="0"/>
          </w:rPr>
          <w:t xml:space="preserve">l.ivanova@groupstp.ru</w:t>
        </w:r>
      </w:hyperlink>
      <w:r w:rsidDel="00000000" w:rsidR="00000000" w:rsidRPr="00000000">
        <w:rPr>
          <w:rFonts w:ascii="Times" w:cs="Times" w:eastAsia="Times" w:hAnsi="Times"/>
          <w:i w:val="1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3C">
      <w:pPr>
        <w:spacing w:line="240" w:lineRule="auto"/>
        <w:ind w:left="708.6614173228347" w:firstLine="0"/>
        <w:jc w:val="center"/>
        <w:rPr>
          <w:rFonts w:ascii="Times" w:cs="Times" w:eastAsia="Times" w:hAnsi="Times"/>
          <w:i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ind w:left="708.6614173228347" w:firstLine="0"/>
        <w:jc w:val="center"/>
        <w:rPr>
          <w:rFonts w:ascii="Times" w:cs="Times" w:eastAsia="Times" w:hAnsi="Times"/>
          <w:i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center"/>
        <w:rPr>
          <w:rFonts w:ascii="Times" w:cs="Times" w:eastAsia="Times" w:hAnsi="Times"/>
          <w:b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sz w:val="28"/>
          <w:szCs w:val="28"/>
          <w:rtl w:val="0"/>
        </w:rPr>
        <w:t xml:space="preserve">Справка</w:t>
      </w:r>
    </w:p>
    <w:p w:rsidR="00000000" w:rsidDel="00000000" w:rsidP="00000000" w:rsidRDefault="00000000" w:rsidRPr="00000000" w14:paraId="0000003F">
      <w:pPr>
        <w:jc w:val="center"/>
        <w:rPr>
          <w:rFonts w:ascii="Times" w:cs="Times" w:eastAsia="Times" w:hAnsi="Time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firstLine="708.6614173228347"/>
        <w:jc w:val="both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color w:val="222222"/>
          <w:highlight w:val="white"/>
          <w:rtl w:val="0"/>
        </w:rPr>
        <w:t xml:space="preserve">Компания </w:t>
      </w:r>
      <w:r w:rsidDel="00000000" w:rsidR="00000000" w:rsidRPr="00000000">
        <w:rPr>
          <w:rFonts w:ascii="Times" w:cs="Times" w:eastAsia="Times" w:hAnsi="Times"/>
          <w:rtl w:val="0"/>
        </w:rPr>
        <w:t xml:space="preserve">ООО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</w:t>
      </w:r>
      <w:r w:rsidDel="00000000" w:rsidR="00000000" w:rsidRPr="00000000">
        <w:rPr>
          <w:rFonts w:ascii="Times" w:cs="Times" w:eastAsia="Times" w:hAnsi="Times"/>
          <w:rtl w:val="0"/>
        </w:rPr>
        <w:t xml:space="preserve">РТ-НЭО Иркутск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»</w:t>
      </w:r>
      <w:r w:rsidDel="00000000" w:rsidR="00000000" w:rsidRPr="00000000">
        <w:rPr>
          <w:rFonts w:ascii="Times" w:cs="Times" w:eastAsia="Times" w:hAnsi="Times"/>
          <w:color w:val="222222"/>
          <w:highlight w:val="white"/>
          <w:rtl w:val="0"/>
        </w:rPr>
        <w:t xml:space="preserve">  предоставляет услуги сбора, транспортирования, размещения, утилизации и переработки твердых коммунальных отходов (ТКО) на территории Зоны 2 «Юг» Иркутской области</w:t>
      </w:r>
      <w:r w:rsidDel="00000000" w:rsidR="00000000" w:rsidRPr="00000000">
        <w:rPr>
          <w:rFonts w:ascii="Times" w:cs="Times" w:eastAsia="Times" w:hAnsi="Times"/>
          <w:rtl w:val="0"/>
        </w:rPr>
        <w:t xml:space="preserve">. Статус регионального оператора компания получила по результатам конкурсного отбора, по итогам которого было заключено соглашение  с Министерством жилищной политики, энергетики и транспорта Иркутской области от 28.04.2018 г. № 318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</w:t>
      </w:r>
      <w:r w:rsidDel="00000000" w:rsidR="00000000" w:rsidRPr="00000000">
        <w:rPr>
          <w:rFonts w:ascii="Times" w:cs="Times" w:eastAsia="Times" w:hAnsi="Times"/>
          <w:rtl w:val="0"/>
        </w:rPr>
        <w:t xml:space="preserve">Об организации деятельности по обращению с твердыми коммунальными отходами на территории Иркутской области (Зона 2)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»</w:t>
      </w:r>
      <w:r w:rsidDel="00000000" w:rsidR="00000000" w:rsidRPr="00000000">
        <w:rPr>
          <w:rFonts w:ascii="Times" w:cs="Times" w:eastAsia="Times" w:hAnsi="Times"/>
          <w:rtl w:val="0"/>
        </w:rPr>
        <w:t xml:space="preserve">.</w:t>
      </w:r>
    </w:p>
    <w:p w:rsidR="00000000" w:rsidDel="00000000" w:rsidP="00000000" w:rsidRDefault="00000000" w:rsidRPr="00000000" w14:paraId="00000041">
      <w:pPr>
        <w:spacing w:line="240" w:lineRule="auto"/>
        <w:ind w:left="708.6614173228347" w:firstLine="0"/>
        <w:jc w:val="center"/>
        <w:rPr>
          <w:rFonts w:ascii="Times" w:cs="Times" w:eastAsia="Times" w:hAnsi="Times"/>
          <w:i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708.661417322834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Times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ogirk.ru/wp-content/uploads/sm-issue-print/2018/12/dok-145-1902-17-40.pdf" TargetMode="External"/><Relationship Id="rId10" Type="http://schemas.openxmlformats.org/officeDocument/2006/relationships/hyperlink" Target="http://rtneo-irk.ru/upload/menu/58-28-mpr.pdf" TargetMode="External"/><Relationship Id="rId13" Type="http://schemas.openxmlformats.org/officeDocument/2006/relationships/hyperlink" Target="http://www.rostec.ru/" TargetMode="External"/><Relationship Id="rId12" Type="http://schemas.openxmlformats.org/officeDocument/2006/relationships/hyperlink" Target="mailto:contact@rtneo-irk.ru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rtneo-irk.ru/upload/menu/58-28-mpr.pdf" TargetMode="External"/><Relationship Id="rId15" Type="http://schemas.openxmlformats.org/officeDocument/2006/relationships/hyperlink" Target="mailto:press@rtneo-irk.ru" TargetMode="External"/><Relationship Id="rId14" Type="http://schemas.openxmlformats.org/officeDocument/2006/relationships/hyperlink" Target="https://rtneo-irk.ru/" TargetMode="External"/><Relationship Id="rId16" Type="http://schemas.openxmlformats.org/officeDocument/2006/relationships/hyperlink" Target="mailto:l.ivanova@groupstp.ru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rtneo-irk.ru/" TargetMode="External"/><Relationship Id="rId8" Type="http://schemas.openxmlformats.org/officeDocument/2006/relationships/hyperlink" Target="http://rtneo-irk.ru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