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E4" w:rsidRPr="007979E4" w:rsidRDefault="007979E4" w:rsidP="007979E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E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979E4" w:rsidRPr="007979E4" w:rsidRDefault="007979E4" w:rsidP="007979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E4">
        <w:rPr>
          <w:rFonts w:ascii="Times New Roman" w:hAnsi="Times New Roman" w:cs="Times New Roman"/>
          <w:b/>
          <w:sz w:val="28"/>
          <w:szCs w:val="28"/>
        </w:rPr>
        <w:t>организации и проведения процедуры  открытого голосования по общественным территориям Зиминского городского муниципального образования, подлежащих в первоочередном порядке благоустройству в 20</w:t>
      </w:r>
      <w:r w:rsidR="004B4702">
        <w:rPr>
          <w:rFonts w:ascii="Times New Roman" w:hAnsi="Times New Roman" w:cs="Times New Roman"/>
          <w:b/>
          <w:sz w:val="28"/>
          <w:szCs w:val="28"/>
        </w:rPr>
        <w:t>21</w:t>
      </w:r>
      <w:r w:rsidRPr="007979E4">
        <w:rPr>
          <w:rFonts w:ascii="Times New Roman" w:hAnsi="Times New Roman" w:cs="Times New Roman"/>
          <w:b/>
          <w:sz w:val="28"/>
          <w:szCs w:val="28"/>
        </w:rPr>
        <w:t xml:space="preserve"> году в соответствии с муниципальной программой «Формирование современной городской среды Зиминского городского муниципального образования» на 2018 - 202</w:t>
      </w:r>
      <w:r w:rsidR="00793031">
        <w:rPr>
          <w:rFonts w:ascii="Times New Roman" w:hAnsi="Times New Roman" w:cs="Times New Roman"/>
          <w:b/>
          <w:sz w:val="28"/>
          <w:szCs w:val="28"/>
        </w:rPr>
        <w:t>4</w:t>
      </w:r>
      <w:r w:rsidRPr="007979E4">
        <w:rPr>
          <w:rFonts w:ascii="Times New Roman" w:hAnsi="Times New Roman" w:cs="Times New Roman"/>
          <w:b/>
          <w:sz w:val="28"/>
          <w:szCs w:val="28"/>
        </w:rPr>
        <w:t xml:space="preserve"> годы. </w:t>
      </w:r>
    </w:p>
    <w:p w:rsidR="007979E4" w:rsidRPr="007979E4" w:rsidRDefault="007979E4" w:rsidP="007979E4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</w:t>
      </w:r>
      <w:r w:rsidRPr="007979E4">
        <w:rPr>
          <w:rFonts w:ascii="Times New Roman" w:hAnsi="Times New Roman" w:cs="Times New Roman"/>
          <w:sz w:val="28"/>
          <w:szCs w:val="28"/>
        </w:rPr>
        <w:t xml:space="preserve">Зиминского городского 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образования, </w:t>
      </w:r>
      <w:r w:rsidRPr="007979E4">
        <w:rPr>
          <w:rFonts w:ascii="Times New Roman" w:hAnsi="Times New Roman" w:cs="Times New Roman"/>
          <w:sz w:val="28"/>
          <w:szCs w:val="28"/>
        </w:rPr>
        <w:t>подлежащих в первоочередном порядке благоустройству в 20</w:t>
      </w:r>
      <w:r w:rsidR="00993575">
        <w:rPr>
          <w:rFonts w:ascii="Times New Roman" w:hAnsi="Times New Roman" w:cs="Times New Roman"/>
          <w:sz w:val="28"/>
          <w:szCs w:val="28"/>
        </w:rPr>
        <w:t>21</w:t>
      </w:r>
      <w:r w:rsidRPr="007979E4">
        <w:rPr>
          <w:rFonts w:ascii="Times New Roman" w:hAnsi="Times New Roman" w:cs="Times New Roman"/>
          <w:sz w:val="28"/>
          <w:szCs w:val="28"/>
        </w:rPr>
        <w:t xml:space="preserve"> году в соответствии с муниципальной программой «Формирование современной городской среды Зиминского городского муниципального образования» на 2018 - 202</w:t>
      </w:r>
      <w:r w:rsidR="00993575">
        <w:rPr>
          <w:rFonts w:ascii="Times New Roman" w:hAnsi="Times New Roman" w:cs="Times New Roman"/>
          <w:sz w:val="28"/>
          <w:szCs w:val="28"/>
        </w:rPr>
        <w:t>4</w:t>
      </w:r>
      <w:r w:rsidRPr="007979E4">
        <w:rPr>
          <w:rFonts w:ascii="Times New Roman" w:hAnsi="Times New Roman" w:cs="Times New Roman"/>
          <w:sz w:val="28"/>
          <w:szCs w:val="28"/>
        </w:rPr>
        <w:t xml:space="preserve"> годы (далее – «голосование по общественным территориям», «голосование»),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Pr="007979E4">
        <w:rPr>
          <w:rFonts w:ascii="Times New Roman" w:hAnsi="Times New Roman" w:cs="Times New Roman"/>
          <w:sz w:val="28"/>
          <w:szCs w:val="28"/>
        </w:rPr>
        <w:t>общественных территорий, подлежащих в первоочередном порядке благоустройству в 20</w:t>
      </w:r>
      <w:r w:rsidR="00993575">
        <w:rPr>
          <w:rFonts w:ascii="Times New Roman" w:hAnsi="Times New Roman" w:cs="Times New Roman"/>
          <w:sz w:val="28"/>
          <w:szCs w:val="28"/>
        </w:rPr>
        <w:t>21</w:t>
      </w:r>
      <w:r w:rsidRPr="007979E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Решение о назначении голосования по общественным территориям принимается мэром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на основании принятого решения общественной муниципальной комиссии по отбору проектов.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</w:t>
      </w:r>
      <w:proofErr w:type="spellStart"/>
      <w:proofErr w:type="gramStart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дизайн-проектами</w:t>
      </w:r>
      <w:proofErr w:type="spellEnd"/>
      <w:proofErr w:type="gramEnd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благоустройства </w:t>
      </w:r>
      <w:r w:rsidRPr="007979E4">
        <w:rPr>
          <w:rFonts w:ascii="Times New Roman" w:hAnsi="Times New Roman" w:cs="Times New Roman"/>
          <w:sz w:val="28"/>
          <w:szCs w:val="28"/>
        </w:rPr>
        <w:t>общественных территорий, отобранных для голосования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В нормативном правовом акте мэра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о назначении голосования по общественным территориям устанавливаются следующие сведения: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</w:t>
      </w:r>
      <w:r w:rsidRPr="007979E4">
        <w:rPr>
          <w:rFonts w:ascii="Times New Roman" w:hAnsi="Times New Roman" w:cs="Times New Roman"/>
          <w:sz w:val="28"/>
          <w:szCs w:val="28"/>
        </w:rPr>
        <w:t xml:space="preserve">Зиминского городского 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в информационно-телекоммуникационной сети «Интернет» не менее чем за 10</w:t>
      </w:r>
      <w:r w:rsidRPr="007979E4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дней до дня его проведения.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5. Проведение голосования организует и обеспечивает общественная муниципальная комиссия.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комиссия: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4) осуществляет иные полномочия, определенные главой муниципального образования.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E4">
        <w:rPr>
          <w:rFonts w:ascii="Times New Roman" w:hAnsi="Times New Roman" w:cs="Times New Roman"/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муниципальной комиссией и должен быть не менее 3-х членов комиссии. 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7979E4" w:rsidRPr="007979E4" w:rsidRDefault="007979E4" w:rsidP="007979E4">
      <w:pPr>
        <w:pStyle w:val="a3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Бюллетени и иную документацию, связанную с подготовкой и проведением голосования, общественная муниципальная комиссия передает в территориальные счетные комиссии.  </w:t>
      </w:r>
    </w:p>
    <w:p w:rsidR="007979E4" w:rsidRPr="007979E4" w:rsidRDefault="007979E4" w:rsidP="007979E4">
      <w:pPr>
        <w:pStyle w:val="a3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7979E4">
        <w:rPr>
          <w:rFonts w:ascii="Times New Roman" w:eastAsia="Calibri" w:hAnsi="Times New Roman" w:cs="Times New Roman"/>
          <w:sz w:val="28"/>
          <w:szCs w:val="28"/>
        </w:rPr>
        <w:t> Голосование по общественным территориям проводится путем открытого голосования</w:t>
      </w:r>
      <w:r w:rsidR="003E7C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9E4" w:rsidRPr="007979E4" w:rsidRDefault="007979E4" w:rsidP="007979E4">
      <w:pPr>
        <w:pStyle w:val="a3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9E4">
        <w:rPr>
          <w:rFonts w:ascii="Times New Roman" w:eastAsia="Calibri" w:hAnsi="Times New Roman" w:cs="Times New Roman"/>
          <w:sz w:val="28"/>
          <w:szCs w:val="28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7979E4" w:rsidRPr="007979E4" w:rsidRDefault="007979E4" w:rsidP="007979E4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список включаются граждане Российской Федерации, достигшие 14-летнего возраста и имеющие место жительство на территории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списке могут быть также </w:t>
      </w:r>
      <w:proofErr w:type="gramStart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предусмотрены</w:t>
      </w:r>
      <w:proofErr w:type="gramEnd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числе: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4" w:tooltip="Федеральный закон от 27.07.2006 N 152-ФЗ (ред. от 03.07.2016) &quot;О персональных данных&quot;{КонсультантПлюс}" w:history="1">
        <w:r w:rsidRPr="007979E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9. Участники голосования участвуют в голосовании непосредственно. Каждый участник голосования имеет один голос.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Участник голосования имеет право отметить в бюллетене любое количество проектов, но не более чем 2</w:t>
      </w:r>
      <w:r w:rsidRPr="007979E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документ, подтверждающий личность,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После этого в списке расписывается член территориальной счетной комиссии, выдавший участнику голосования бюллетень.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 чем за 2   общественные территории.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</w:t>
      </w:r>
      <w:proofErr w:type="gramStart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которые) </w:t>
      </w:r>
      <w:proofErr w:type="gramEnd"/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он собирается голосовать.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мэра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о назначении голосования. 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Подсчет голосов участников голосования </w:t>
      </w:r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7979E4">
        <w:rPr>
          <w:rStyle w:val="blk"/>
          <w:rFonts w:ascii="Times New Roman" w:hAnsi="Times New Roman" w:cs="Times New Roman"/>
          <w:sz w:val="28"/>
          <w:szCs w:val="28"/>
        </w:rPr>
        <w:t>, иные лица.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>13.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</w:t>
      </w:r>
      <w:proofErr w:type="gramStart"/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t>по которым невозможно выявить действительную волю участника голосования.</w:t>
      </w:r>
      <w:proofErr w:type="gramEnd"/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14.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Pr="007979E4">
        <w:rPr>
          <w:rFonts w:ascii="Times New Roman" w:eastAsia="Calibri" w:hAnsi="Times New Roman" w:cs="Times New Roman"/>
          <w:bCs/>
          <w:sz w:val="28"/>
          <w:szCs w:val="28"/>
        </w:rPr>
        <w:t>заявка</w:t>
      </w:r>
      <w:proofErr w:type="gramEnd"/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 на включение которой в голосование поступила раньше.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979E4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муниципальную комиссию.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 общественной муниципальной комиссии подсчет голосов участников голосования может осуществляться в общественной муниципальной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Жалобы, обращения, связанные с проведением голосования, подаются в общественную муниципальную комиссию. Комиссия регистрирует жалобы, обращения и рассматривает их на своем заседании в течение десяти дней 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7979E4" w:rsidRPr="007979E4" w:rsidRDefault="007979E4" w:rsidP="007979E4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муниципальной комиссии об итогах голосования в муниципальном образовании</w:t>
      </w:r>
      <w:proofErr w:type="gramStart"/>
      <w:r w:rsidRPr="007979E4">
        <w:rPr>
          <w:rFonts w:ascii="Times New Roman" w:eastAsia="Calibri" w:hAnsi="Times New Roman" w:cs="Times New Roman"/>
          <w:bCs/>
          <w:sz w:val="28"/>
          <w:szCs w:val="28"/>
        </w:rPr>
        <w:t>)у</w:t>
      </w:r>
      <w:proofErr w:type="gramEnd"/>
      <w:r w:rsidRPr="007979E4">
        <w:rPr>
          <w:rFonts w:ascii="Times New Roman" w:eastAsia="Calibri" w:hAnsi="Times New Roman" w:cs="Times New Roman"/>
          <w:bCs/>
          <w:sz w:val="28"/>
          <w:szCs w:val="28"/>
        </w:rPr>
        <w:t>казываются:</w:t>
      </w:r>
    </w:p>
    <w:p w:rsidR="007979E4" w:rsidRPr="007979E4" w:rsidRDefault="007979E4" w:rsidP="007979E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:rsidR="007979E4" w:rsidRPr="007979E4" w:rsidRDefault="007979E4" w:rsidP="007979E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7979E4" w:rsidRPr="007979E4" w:rsidRDefault="007979E4" w:rsidP="007979E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комиссий, и оформляется итоговым протоколом общественной муниципальной комиссии.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общественной муниципальной комиссией производится не позднее, чем через 7  дней со дня проведения голосования. 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 После оформления итогов голосования по общественным территориям председатель общественной муниципальной комиссии представляет главе </w:t>
      </w:r>
      <w:r w:rsidRPr="007979E4">
        <w:rPr>
          <w:rFonts w:ascii="Times New Roman" w:hAnsi="Times New Roman" w:cs="Times New Roman"/>
          <w:sz w:val="28"/>
          <w:szCs w:val="28"/>
        </w:rPr>
        <w:t xml:space="preserve">Зиминского городского 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итоговый протокол результатов голосования.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администрации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</w:t>
      </w:r>
      <w:r w:rsidRPr="007979E4">
        <w:rPr>
          <w:rFonts w:ascii="Times New Roman" w:hAnsi="Times New Roman" w:cs="Times New Roman"/>
          <w:sz w:val="28"/>
          <w:szCs w:val="28"/>
        </w:rPr>
        <w:t xml:space="preserve">Зиминского городского </w:t>
      </w: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 в  информационно-телекоммуникационной сети «Интернет».</w:t>
      </w:r>
    </w:p>
    <w:p w:rsidR="007979E4" w:rsidRPr="007979E4" w:rsidRDefault="007979E4" w:rsidP="0079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</w:t>
      </w:r>
      <w:r w:rsidRPr="007979E4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Pr="007979E4">
        <w:rPr>
          <w:rFonts w:ascii="Times New Roman" w:hAnsi="Times New Roman" w:cs="Times New Roman"/>
          <w:sz w:val="28"/>
          <w:szCs w:val="28"/>
        </w:rPr>
        <w:t>Зиминского городского</w:t>
      </w:r>
      <w:r w:rsidRPr="00797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</w:t>
      </w:r>
      <w:r w:rsidRPr="007979E4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Pr="007979E4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FF36D0" w:rsidRDefault="00FF36D0"/>
    <w:sectPr w:rsidR="00FF36D0" w:rsidSect="007979E4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9E4"/>
    <w:rsid w:val="00033B22"/>
    <w:rsid w:val="003E7CF4"/>
    <w:rsid w:val="004B4702"/>
    <w:rsid w:val="004C0F31"/>
    <w:rsid w:val="00793031"/>
    <w:rsid w:val="007979E4"/>
    <w:rsid w:val="008C2177"/>
    <w:rsid w:val="00942881"/>
    <w:rsid w:val="00993575"/>
    <w:rsid w:val="00A4423E"/>
    <w:rsid w:val="00A57362"/>
    <w:rsid w:val="00F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7979E4"/>
  </w:style>
  <w:style w:type="paragraph" w:styleId="a3">
    <w:name w:val="List Paragraph"/>
    <w:basedOn w:val="a"/>
    <w:uiPriority w:val="34"/>
    <w:qFormat/>
    <w:rsid w:val="007979E4"/>
    <w:pPr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rsid w:val="004C0F31"/>
  </w:style>
  <w:style w:type="character" w:styleId="a4">
    <w:name w:val="Hyperlink"/>
    <w:basedOn w:val="a0"/>
    <w:uiPriority w:val="99"/>
    <w:unhideWhenUsed/>
    <w:rsid w:val="004C0F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915B080492A65F3A6B52EDC8894423D4A5FF9FC4617419ECC72BB887B38775ED7DBCE765ADC9E31YEU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Полынов Д.А.</dc:creator>
  <cp:lastModifiedBy>Полынов Д.А.</cp:lastModifiedBy>
  <cp:revision>4</cp:revision>
  <cp:lastPrinted>2018-03-16T06:24:00Z</cp:lastPrinted>
  <dcterms:created xsi:type="dcterms:W3CDTF">2020-02-03T01:56:00Z</dcterms:created>
  <dcterms:modified xsi:type="dcterms:W3CDTF">2020-02-03T02:48:00Z</dcterms:modified>
</cp:coreProperties>
</file>