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Зиминского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Иркутской области </w:t>
      </w:r>
    </w:p>
    <w:p w:rsidR="008C1A08" w:rsidRDefault="0043029B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05.03.2025 г. № 202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"Утверждена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</w:t>
      </w:r>
    </w:p>
    <w:p w:rsidR="005176FE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04.12.2019 № 1237</w:t>
      </w:r>
    </w:p>
    <w:tbl>
      <w:tblPr>
        <w:tblStyle w:val="a4"/>
        <w:tblpPr w:leftFromText="180" w:rightFromText="180" w:vertAnchor="page" w:horzAnchor="margin" w:tblpY="4111"/>
        <w:tblW w:w="9889" w:type="dxa"/>
        <w:tblLook w:val="04A0"/>
      </w:tblPr>
      <w:tblGrid>
        <w:gridCol w:w="1926"/>
        <w:gridCol w:w="7963"/>
      </w:tblGrid>
      <w:tr w:rsidR="008C1A08" w:rsidRPr="003C5001" w:rsidTr="00041C73">
        <w:trPr>
          <w:trHeight w:val="891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ОКРУГА ИРКУТСКОЙ ОБЛАСТИ "РАЗВИТИЕ ФИЗИЧЕСКОЙ КУЛЬТУРЫ И СПОРТА" НА 2020-2027 ГОДЫ</w:t>
            </w:r>
          </w:p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ПАСПОРТ МУНИЦИПАЛЬНОЙ ПРОГРАММЫ</w:t>
            </w: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ЗИМИНСКОГО ГОРОДСКОГО  ОКРУГА  ИРКУТСКОЙ ОБЛАСТИ</w:t>
            </w: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ФИЗИЧЕСКОЙ КУЛЬТУРЫ И СПОРТА» НА 2020-2027 ГОДЫ</w:t>
            </w:r>
          </w:p>
        </w:tc>
      </w:tr>
      <w:tr w:rsidR="008C1A08" w:rsidRPr="003C5001" w:rsidTr="00041C73">
        <w:trPr>
          <w:trHeight w:val="89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C1A08" w:rsidRPr="003C5001" w:rsidTr="00041C73">
        <w:trPr>
          <w:trHeight w:val="1363"/>
        </w:trPr>
        <w:tc>
          <w:tcPr>
            <w:tcW w:w="19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в лице о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спорту.</w:t>
            </w:r>
          </w:p>
        </w:tc>
      </w:tr>
      <w:tr w:rsidR="008C1A08" w:rsidRPr="003C5001" w:rsidTr="008C1A08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8C1A08" w:rsidRPr="003C5001" w:rsidTr="008C1A08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Отдел по физической культуре и спорту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Комитет по образованию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учреждение «Спортивная школа» Зиминского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образования.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городское муниципальное бюджетное учреждение «Дирекция единого заказчика-застройщика».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учреждение культуры «Историко – краеведческий музей».</w:t>
            </w: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условий для развития физической культуры и спорта на территории Зиминскогогородского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инфраструктуры физической культуры и спорта на территории Зиминскогогородского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</w:tc>
      </w:tr>
      <w:tr w:rsidR="008C1A08" w:rsidRPr="003C5001" w:rsidTr="008C1A08">
        <w:trPr>
          <w:trHeight w:val="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8C1A08" w:rsidRPr="003C5001" w:rsidTr="008C1A08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1.Доля населения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занимающегося физической культурой и спортом, в общей численности населения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возрасте 3-79 лет.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59">
              <w:rPr>
                <w:rFonts w:ascii="Times New Roman" w:hAnsi="Times New Roman" w:cs="Times New Roman"/>
              </w:rPr>
              <w:t>2.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08" w:rsidRPr="003C5001" w:rsidTr="008C1A08">
        <w:trPr>
          <w:trHeight w:val="132"/>
        </w:trPr>
        <w:tc>
          <w:tcPr>
            <w:tcW w:w="19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C1A08" w:rsidRPr="003C5001" w:rsidRDefault="008C1A08" w:rsidP="008C1A08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8C1A08" w:rsidRPr="003C5001" w:rsidTr="008C1A08">
        <w:trPr>
          <w:trHeight w:val="42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817A7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796 219,7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392 775,4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16 161,3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22 057,6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32 162,0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34 874,1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45 743,8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47 857,5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154 817,5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- 39 101,6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246 494,7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688,80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482,3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56 330,9тыс.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7 711,3тыс.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64263,2тыс.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114 018,2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156 949,6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130 101,50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26 848,1тыс.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A02B2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</w:tc>
      </w:tr>
      <w:tr w:rsidR="008C1A08" w:rsidRPr="003C5001" w:rsidTr="008C1A08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3C5001" w:rsidRDefault="008C1A08" w:rsidP="008C1A08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занимающегося физической культурой и спортом, в общей численности населения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возрасте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лет до 4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уровня обеспеченности населения спортивными сооружениями исходя из единовременной пропускной способности объектов спорта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  <w:tr w:rsidR="008C1A08" w:rsidRPr="003C5001" w:rsidTr="008C1A08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Координацию и организацию исполнения мероприятий муниципальной программы осуществляет отдел по физической культуре и спорту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296BA3" w:rsidRDefault="002B3377" w:rsidP="002B337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3377" w:rsidRPr="00296BA3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«Развитие физической культуры и спорта» на 2020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Сфера физической культуры и спорта в Зиминском городском </w:t>
      </w:r>
      <w:r w:rsidR="003C745C">
        <w:rPr>
          <w:rFonts w:ascii="Times New Roman" w:eastAsia="Times New Roman" w:hAnsi="Times New Roman" w:cs="Times New Roman"/>
          <w:sz w:val="24"/>
          <w:szCs w:val="24"/>
        </w:rPr>
        <w:t xml:space="preserve">округе Иркутской области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все более востребованы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легкая атлетика, лыжные гонки. Также на базе муниципального бюджетного учреждения дополнител</w:t>
      </w:r>
      <w:r w:rsidR="00900312">
        <w:rPr>
          <w:rFonts w:ascii="Times New Roman" w:eastAsia="Times New Roman" w:hAnsi="Times New Roman" w:cs="Times New Roman"/>
          <w:sz w:val="24"/>
          <w:szCs w:val="24"/>
        </w:rPr>
        <w:t>ьного образования «С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портивной школы имени Г.М. Сергеева» культивируются такие виды спорта, как: волейбол, баскетбол, кикбоксинг, пауэрлифтинг, шахматы. С 2019 года реализацию программ спортивной подготовки осуществляет муниципальное автономное учреждение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«Спортивная школа» Зиминского городского муниципального образования, на базе которой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формируются сборные взрослые команды по игровым видам спорта (футбол, волейбол, баскетбол). 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военно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спортивным клубом «Русь», спортивным клубом «Эрон» -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филиалом </w:t>
      </w:r>
      <w:r w:rsidR="006450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нгарской общественной организации «Федерация рукопашного боя и каратэ» г. Ангарска, Зиминским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развитию массового спорта в городе. Отделом по физической культуре и спорту администрации Зиминского городского</w:t>
      </w:r>
      <w:r w:rsidR="00810685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дартс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пневматическая стрельба, волейбол, баскетбол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, настольный теннис.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учета и находящихся в социально опасном положении. Спартакиада включает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 xml:space="preserve">На территории Зиминского городского </w:t>
      </w:r>
      <w:r w:rsidR="00810685">
        <w:t xml:space="preserve">округа Иркутской области </w:t>
      </w:r>
      <w:r w:rsidRPr="00C5742D">
        <w:t>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D00E47">
        <w:t>–</w:t>
      </w:r>
      <w:r w:rsidRPr="00C5742D">
        <w:t xml:space="preserve">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С 2019 года на базе МАУ</w:t>
      </w:r>
      <w:r w:rsidR="00990BF7">
        <w:t xml:space="preserve"> ДО</w:t>
      </w:r>
      <w:r w:rsidRPr="00C5742D">
        <w:t xml:space="preserve"> «Спортивная школа» Зиминского городского муниципального образования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C8338C" w:rsidRDefault="002B3377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граждан Зиминского городского </w:t>
      </w:r>
      <w:r w:rsidR="00810685">
        <w:rPr>
          <w:rFonts w:ascii="Times New Roman" w:eastAsia="Times New Roman" w:hAnsi="Times New Roman" w:cs="Times New Roman"/>
          <w:sz w:val="24"/>
          <w:szCs w:val="24"/>
        </w:rPr>
        <w:t>округа Иркутской области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>, систематически занимающихся физической культурой и спортом, согласно с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t>ведениям статистического отчета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–11 819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% от общей численности населения указанной возрастной 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lastRenderedPageBreak/>
        <w:t>категории)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объясняется эффективностью реализации социальной политики Зиминского городского </w:t>
      </w:r>
      <w:r w:rsidR="001162F9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в сфере развития физической культуры и спорта.Развитие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</w:t>
      </w:r>
      <w:r w:rsidR="001162F9">
        <w:rPr>
          <w:rFonts w:ascii="Times New Roman" w:eastAsia="Times New Roman" w:hAnsi="Times New Roman" w:cs="Times New Roman"/>
          <w:sz w:val="24"/>
          <w:szCs w:val="24"/>
        </w:rPr>
        <w:t>округа Иркутской области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спортивно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оздоровительного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 очень благотворно влияет на развитие игровых видов спорта в городе, легкой атлетики, а также повы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шает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реализации ВФСК «ГТО», т.к. ФОК обеспечен для этого всеми необходимыми условиями и материально-технической базой.</w:t>
      </w:r>
      <w:r w:rsidR="00C27D55" w:rsidRPr="00C27D55">
        <w:rPr>
          <w:rFonts w:ascii="Times New Roman" w:hAnsi="Times New Roman" w:cs="Times New Roman"/>
          <w:sz w:val="24"/>
        </w:rPr>
        <w:t>Особое внимание уделяется оздоровительной физической культуре. В фитнес</w:t>
      </w:r>
      <w:r w:rsidR="00D00E47">
        <w:rPr>
          <w:rFonts w:ascii="Times New Roman" w:hAnsi="Times New Roman" w:cs="Times New Roman"/>
          <w:sz w:val="24"/>
        </w:rPr>
        <w:t>–</w:t>
      </w:r>
      <w:r w:rsidR="00C27D55" w:rsidRPr="00C27D55">
        <w:rPr>
          <w:rFonts w:ascii="Times New Roman" w:hAnsi="Times New Roman" w:cs="Times New Roman"/>
          <w:sz w:val="24"/>
        </w:rPr>
        <w:t xml:space="preserve">клубе «Фаворит»  культивируется 16 видов современного фитнеса и аэробики.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Спортивный клуб пользуется популярностью среди населения. Преимущественно посетители клуба – женщины. Мужчины приходят позаниматься только в тренажерный зал. Особой популярностью пользуются занятия Йогой, hot iron,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bestfit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tabata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>, Джампинг, оздоровительный фитнес, Степ, Шейпинг, Тренажерный зал.  Ассортимент фитнесс услуг постоянно расширяется, так особо полюбились посетителям занятия на батутах (джампинг направление), калланетика и bosu-тренировка.</w:t>
      </w:r>
    </w:p>
    <w:p w:rsidR="00C8338C" w:rsidRDefault="00C27D55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C27D55">
        <w:rPr>
          <w:rFonts w:ascii="Times New Roman" w:hAnsi="Times New Roman" w:cs="Times New Roman"/>
          <w:sz w:val="24"/>
          <w:lang w:eastAsia="en-US"/>
        </w:rPr>
        <w:t xml:space="preserve">В городе продолжает работу стрелковый тир. В городском стрелковом тире военно-спортивного центра проходят межмуниципальные соревнования по пулевой стрельбе из пневматической винтовки среди всех населений города Зимы. В спортивном зале в Доме культуры им. Гринчика проходят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тренировочные занятия, что позволяет немного разгрузить ФОК. В настоящее время в спортивном зале проводятся занятия по волейболу и баскетболу и мини – футболу среди девочек.</w:t>
      </w:r>
    </w:p>
    <w:p w:rsidR="002B74EE" w:rsidRPr="00C8338C" w:rsidRDefault="002B74EE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2B74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 городе ведется работа по строительству плавательного бассейна</w:t>
      </w:r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, в котором помимо бассейна для плавания будет работать многофункциональный тренажерный зал. Объект строится благодаря федеральному проекту «Спорт – норма жизни» национального проекта «Демография».</w:t>
      </w:r>
    </w:p>
    <w:p w:rsidR="00703812" w:rsidRPr="00C5742D" w:rsidRDefault="00703812" w:rsidP="00C833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145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7 мая2018 года Президентом России был подписан Указ №204 «О национальных целях и стратегических задачах развития Российской Федерации на период до 2024 года». Документом определены основные цели развития страны, среди которых по отрасли физическая культура и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низкая мотивация населения к занятиям физической культурой и спортом;</w:t>
      </w:r>
    </w:p>
    <w:p w:rsidR="00016608" w:rsidRPr="00C5742D" w:rsidRDefault="00016608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населения спортивными сооружениямии материально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016608" w:rsidRPr="00C5742D">
        <w:rPr>
          <w:rFonts w:ascii="Times New Roman" w:hAnsi="Times New Roman" w:cs="Times New Roman"/>
          <w:sz w:val="24"/>
          <w:szCs w:val="24"/>
        </w:rPr>
        <w:t>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8A6379" w:rsidRPr="00C5742D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Зиминском городском</w:t>
      </w:r>
      <w:r w:rsidR="00FD40D9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в 20</w:t>
      </w:r>
      <w:r w:rsidR="000F1254">
        <w:rPr>
          <w:rFonts w:ascii="Times New Roman" w:hAnsi="Times New Roman" w:cs="Times New Roman"/>
          <w:sz w:val="24"/>
          <w:szCs w:val="24"/>
        </w:rPr>
        <w:t>23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</w:t>
      </w:r>
      <w:r w:rsidR="002B74EE">
        <w:rPr>
          <w:rFonts w:ascii="Times New Roman" w:hAnsi="Times New Roman" w:cs="Times New Roman"/>
          <w:sz w:val="24"/>
          <w:szCs w:val="24"/>
        </w:rPr>
        <w:t>118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</w:t>
      </w:r>
      <w:r w:rsidR="00094D97">
        <w:rPr>
          <w:rFonts w:ascii="Times New Roman" w:hAnsi="Times New Roman" w:cs="Times New Roman"/>
          <w:sz w:val="24"/>
          <w:szCs w:val="24"/>
        </w:rPr>
        <w:t xml:space="preserve">. 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</w:t>
      </w:r>
      <w:r w:rsidR="00EF6CED">
        <w:rPr>
          <w:rFonts w:ascii="Times New Roman" w:hAnsi="Times New Roman" w:cs="Times New Roman"/>
          <w:sz w:val="24"/>
          <w:szCs w:val="24"/>
        </w:rPr>
        <w:t>24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</w:t>
      </w:r>
      <w:r w:rsidR="00EF6CED">
        <w:rPr>
          <w:rFonts w:ascii="Times New Roman" w:hAnsi="Times New Roman" w:cs="Times New Roman"/>
          <w:sz w:val="24"/>
          <w:szCs w:val="24"/>
        </w:rPr>
        <w:t>30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программойЗиминского городского </w:t>
      </w:r>
      <w:r w:rsidR="00103BD7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hAnsi="Times New Roman" w:cs="Times New Roman"/>
          <w:sz w:val="24"/>
          <w:szCs w:val="24"/>
        </w:rPr>
        <w:t>7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91592F">
        <w:rPr>
          <w:rFonts w:ascii="Times New Roman" w:hAnsi="Times New Roman" w:cs="Times New Roman"/>
          <w:sz w:val="24"/>
          <w:szCs w:val="24"/>
        </w:rPr>
        <w:t>37</w:t>
      </w:r>
      <w:r w:rsidR="002D70DE" w:rsidRPr="009A3C7C">
        <w:rPr>
          <w:rFonts w:ascii="Times New Roman" w:hAnsi="Times New Roman" w:cs="Times New Roman"/>
          <w:sz w:val="24"/>
          <w:szCs w:val="24"/>
        </w:rPr>
        <w:t>%.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>строительство физкультурно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</w:t>
      </w:r>
      <w:r w:rsidR="00900312">
        <w:rPr>
          <w:rFonts w:ascii="Times New Roman" w:hAnsi="Times New Roman" w:cs="Times New Roman"/>
          <w:sz w:val="24"/>
          <w:szCs w:val="24"/>
        </w:rPr>
        <w:t>ортивных сооружений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="00900312">
        <w:rPr>
          <w:rFonts w:ascii="Times New Roman" w:hAnsi="Times New Roman" w:cs="Times New Roman"/>
          <w:sz w:val="24"/>
          <w:szCs w:val="24"/>
        </w:rPr>
        <w:t xml:space="preserve">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века.Эффективность их использования – высокая. Спортивн</w:t>
      </w:r>
      <w:r w:rsidR="00094D97">
        <w:rPr>
          <w:rFonts w:ascii="Times New Roman" w:hAnsi="Times New Roman" w:cs="Times New Roman"/>
          <w:sz w:val="24"/>
          <w:szCs w:val="24"/>
        </w:rPr>
        <w:t>ое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сооружен</w:t>
      </w:r>
      <w:r w:rsidR="00094D97">
        <w:rPr>
          <w:rFonts w:ascii="Times New Roman" w:hAnsi="Times New Roman" w:cs="Times New Roman"/>
          <w:sz w:val="24"/>
          <w:szCs w:val="24"/>
        </w:rPr>
        <w:t>ие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не в полном объеме соответству</w:t>
      </w:r>
      <w:r w:rsidR="00094D97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т требованиям проведения массовых мероприятий (спор</w:t>
      </w:r>
      <w:r w:rsidR="00900312">
        <w:rPr>
          <w:rFonts w:ascii="Times New Roman" w:hAnsi="Times New Roman" w:cs="Times New Roman"/>
          <w:sz w:val="24"/>
          <w:szCs w:val="24"/>
        </w:rPr>
        <w:t>тивный зал</w:t>
      </w:r>
      <w:r w:rsidR="00094D97">
        <w:rPr>
          <w:rFonts w:ascii="Times New Roman" w:hAnsi="Times New Roman" w:cs="Times New Roman"/>
          <w:sz w:val="24"/>
          <w:szCs w:val="24"/>
        </w:rPr>
        <w:t>).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физкультурно-спортивных общественных объединений и организаций, а также отдельных граждан.</w:t>
      </w:r>
    </w:p>
    <w:p w:rsidR="00BA7F36" w:rsidRPr="00C8338C" w:rsidRDefault="00703812" w:rsidP="00C8338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</w:t>
      </w:r>
      <w:r w:rsidR="00C8338C">
        <w:rPr>
          <w:rFonts w:ascii="Times New Roman" w:hAnsi="Times New Roman" w:cs="Times New Roman"/>
          <w:sz w:val="24"/>
          <w:szCs w:val="24"/>
        </w:rPr>
        <w:t>ь соответствующие корректировки.</w:t>
      </w:r>
    </w:p>
    <w:p w:rsidR="004C4397" w:rsidRPr="00C5742D" w:rsidRDefault="004C4397" w:rsidP="00C8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Целью настоящей муниципальной программы является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>обеспечение условий для развития физической культуры и спорта на территории Зиминского городского</w:t>
      </w:r>
      <w:r w:rsidR="00103BD7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 xml:space="preserve">. Решение данной задачи предполагает 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Зиминского городского </w:t>
      </w:r>
      <w:r w:rsidR="00103BD7">
        <w:rPr>
          <w:rFonts w:cs="Times New Roman"/>
          <w:szCs w:val="24"/>
        </w:rPr>
        <w:t xml:space="preserve">округа Иркутской области </w:t>
      </w:r>
      <w:r w:rsidRPr="00C5742D">
        <w:rPr>
          <w:rFonts w:cs="Times New Roman"/>
          <w:szCs w:val="24"/>
        </w:rPr>
        <w:t>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физкультурно</w:t>
      </w:r>
      <w:r w:rsidR="00D00E47">
        <w:rPr>
          <w:rFonts w:cs="Times New Roman"/>
          <w:szCs w:val="24"/>
        </w:rPr>
        <w:t>–</w:t>
      </w:r>
      <w:r w:rsidRPr="00C5742D">
        <w:rPr>
          <w:rFonts w:cs="Times New Roman"/>
          <w:szCs w:val="24"/>
        </w:rPr>
        <w:t>спортивного комплекса «Готов к труду и обороне»;развитие дворового спорта; взаимодействие и поддержка общественных организаций и объединений в об</w:t>
      </w:r>
      <w:r w:rsidR="00CE359F">
        <w:rPr>
          <w:rFonts w:cs="Times New Roman"/>
          <w:szCs w:val="24"/>
        </w:rPr>
        <w:t>ласти физической культуры (в т.</w:t>
      </w:r>
      <w:r w:rsidRPr="00C5742D">
        <w:rPr>
          <w:rFonts w:cs="Times New Roman"/>
          <w:szCs w:val="24"/>
        </w:rPr>
        <w:t>ч. адаптивной) и спорта).Для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образования.</w:t>
      </w:r>
    </w:p>
    <w:p w:rsidR="003C3575" w:rsidRPr="00C5742D" w:rsidRDefault="004C4397" w:rsidP="0000487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 городском</w:t>
      </w:r>
      <w:r w:rsidR="006A609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округе Иркутской области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00487D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</w:t>
      </w:r>
      <w:r w:rsidR="00AC2D2F">
        <w:rPr>
          <w:rFonts w:ascii="Times New Roman" w:hAnsi="Times New Roman" w:cs="Times New Roman"/>
          <w:sz w:val="24"/>
          <w:szCs w:val="24"/>
        </w:rPr>
        <w:t>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выход г. Зимы на ведущие позиции среди городов Иркутской области по направлению массового спорта и продвижение Зиминского городского </w:t>
      </w:r>
      <w:r w:rsidR="00AC2D2F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C5742D">
        <w:rPr>
          <w:rFonts w:ascii="Times New Roman" w:hAnsi="Times New Roman" w:cs="Times New Roman"/>
          <w:sz w:val="24"/>
          <w:szCs w:val="24"/>
        </w:rPr>
        <w:t>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>оздание условий для развития детско-юношеского спорта в Зиминском городском</w:t>
      </w:r>
      <w:r w:rsidR="00BA59EB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</w:t>
      </w:r>
      <w:r w:rsidR="00751B1E">
        <w:rPr>
          <w:rFonts w:ascii="Times New Roman" w:hAnsi="Times New Roman" w:cs="Times New Roman"/>
          <w:sz w:val="24"/>
          <w:szCs w:val="24"/>
        </w:rPr>
        <w:t>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A59E4" w:rsidRPr="00C5742D" w:rsidRDefault="000C5B04" w:rsidP="000048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0048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D4755A">
        <w:rPr>
          <w:rFonts w:ascii="Times New Roman" w:hAnsi="Times New Roman" w:cs="Times New Roman"/>
          <w:i/>
          <w:sz w:val="24"/>
          <w:szCs w:val="24"/>
        </w:rPr>
        <w:t>7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901" w:type="dxa"/>
        <w:tblInd w:w="-870" w:type="dxa"/>
        <w:tblLayout w:type="fixed"/>
        <w:tblLook w:val="04A0"/>
      </w:tblPr>
      <w:tblGrid>
        <w:gridCol w:w="1545"/>
        <w:gridCol w:w="1134"/>
        <w:gridCol w:w="851"/>
        <w:gridCol w:w="992"/>
        <w:gridCol w:w="992"/>
        <w:gridCol w:w="1134"/>
        <w:gridCol w:w="1134"/>
        <w:gridCol w:w="1134"/>
        <w:gridCol w:w="993"/>
        <w:gridCol w:w="992"/>
      </w:tblGrid>
      <w:tr w:rsidR="00EF6CED" w:rsidRPr="00817A71" w:rsidTr="00920BE6">
        <w:trPr>
          <w:trHeight w:val="332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00661E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796 219,7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19 850,1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22 539,9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88 492,9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172 686,9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136 855,1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161 875,7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154 817,5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24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3224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392 775,4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16 161,3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22 057,6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32 162,0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34 874,1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45 743,8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154 817,5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D9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246 494,7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56 330,9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7 711,3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64 263,2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114 018,2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D9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156 949,6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130 101,5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26 848,1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29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внебюджетныеисточники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65095" w:rsidRPr="003C5001" w:rsidRDefault="00A65095" w:rsidP="00004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</w:t>
      </w:r>
      <w:r w:rsidR="0021595C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092C5C" w:rsidRPr="00C5742D">
        <w:rPr>
          <w:rFonts w:ascii="Times New Roman" w:hAnsi="Times New Roman" w:cs="Times New Roman"/>
          <w:sz w:val="24"/>
          <w:szCs w:val="24"/>
        </w:rPr>
        <w:t>пософинансированию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575ABE" w:rsidRPr="00575ABE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</w:t>
      </w:r>
      <w:r w:rsidR="00575ABE">
        <w:rPr>
          <w:rFonts w:ascii="Times New Roman" w:hAnsi="Times New Roman" w:cs="Times New Roman"/>
          <w:sz w:val="24"/>
          <w:szCs w:val="24"/>
        </w:rPr>
        <w:t>нсовый год и на плановый период.</w:t>
      </w:r>
    </w:p>
    <w:p w:rsidR="00D7713F" w:rsidRPr="00433948" w:rsidRDefault="00D7713F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8C1A08">
          <w:footerReference w:type="default" r:id="rId8"/>
          <w:footerReference w:type="first" r:id="rId9"/>
          <w:pgSz w:w="12240" w:h="15840"/>
          <w:pgMar w:top="1134" w:right="567" w:bottom="851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W w:w="13904" w:type="dxa"/>
        <w:tblInd w:w="96" w:type="dxa"/>
        <w:tblLayout w:type="fixed"/>
        <w:tblLook w:val="04A0"/>
      </w:tblPr>
      <w:tblGrid>
        <w:gridCol w:w="966"/>
        <w:gridCol w:w="3050"/>
        <w:gridCol w:w="1624"/>
        <w:gridCol w:w="2027"/>
        <w:gridCol w:w="1417"/>
        <w:gridCol w:w="1418"/>
        <w:gridCol w:w="1701"/>
        <w:gridCol w:w="679"/>
        <w:gridCol w:w="27"/>
        <w:gridCol w:w="995"/>
      </w:tblGrid>
      <w:tr w:rsidR="00307E0C" w:rsidRPr="00D57C45" w:rsidTr="00EB003F">
        <w:trPr>
          <w:trHeight w:val="618"/>
        </w:trPr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</w:t>
            </w:r>
          </w:p>
        </w:tc>
        <w:tc>
          <w:tcPr>
            <w:tcW w:w="62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финансирования (тыс. руб.)</w:t>
            </w:r>
          </w:p>
        </w:tc>
      </w:tr>
      <w:tr w:rsidR="009132D2" w:rsidRPr="00D57C45" w:rsidTr="00EB003F">
        <w:trPr>
          <w:trHeight w:val="636"/>
        </w:trPr>
        <w:tc>
          <w:tcPr>
            <w:tcW w:w="9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796 219,7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392 775,4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246 494,7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156 949,6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22 539,9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22 057,6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56 330,9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172 686,9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34 874,1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27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130 101,5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136 855,1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64 263,2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26 848,1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161 875,7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47 875,5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114 018,2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7953A3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B3" w:rsidRPr="007953A3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A3">
              <w:rPr>
                <w:rFonts w:ascii="Times New Roman" w:hAnsi="Times New Roman" w:cs="Times New Roman"/>
                <w:sz w:val="24"/>
                <w:szCs w:val="24"/>
              </w:rPr>
              <w:t>154 817,5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7953A3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B3" w:rsidRPr="007953A3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A3">
              <w:rPr>
                <w:rFonts w:ascii="Times New Roman" w:hAnsi="Times New Roman" w:cs="Times New Roman"/>
                <w:sz w:val="24"/>
                <w:szCs w:val="24"/>
              </w:rPr>
              <w:t>154 817,5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7953A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Default="007953A3" w:rsidP="007953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Default="007953A3" w:rsidP="007953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«Развитие массового </w:t>
            </w: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спорта и спорта высших достижений» на 2020-2027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228 577,5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223 111,1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5 466,4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17 355,4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13 666,6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19 420,4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26 685,1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38 523,3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38 126,8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20 148,9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деятельности:-  ВСК «Русь»; АОФРБ «ЭРОН»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218 752,8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215270,1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887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2D5C92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фармакологической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Обучение, профессиональная подготовка, профессиональная переподготовка, курсы повышения квалификации, налоги, пошлины, сборы, в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страховые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1B08E8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  <w:r w:rsidR="00C7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D1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D1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«Спортивная школа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г. Зимы на международных,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всероссийских, межрегиональных и областных соревнованиях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ентаря и экипировки МБУ ДО «Спортивная школа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24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46BD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46BD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BD" w:rsidRP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BD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BD" w:rsidRP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BD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1A30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11A30" w:rsidRPr="00621F98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Pr="00621F98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0" w:rsidRPr="0095364A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0" w:rsidRPr="0095364A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1A30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24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C" w:rsidRP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EC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C" w:rsidRP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EC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481071,1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146645,7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177475,8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C76654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C76654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61931,7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110123,2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</w:t>
            </w:r>
            <w:r w:rsidR="005E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</w:t>
            </w: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E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74"/>
        </w:trPr>
        <w:tc>
          <w:tcPr>
            <w:tcW w:w="9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4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EB0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ул.Куйбышева до ул.Садовая)</w:t>
            </w:r>
          </w:p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  <w:r w:rsidR="00485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4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400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20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0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54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</w:t>
            </w:r>
            <w:r w:rsidR="00485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54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спортивной площадки по ул. Щорса,3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76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BC0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BC0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спортивной  площадки по ул.5 Армии ,63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F0210" w:rsidRDefault="004F0210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E12F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FE58E8">
      <w:pPr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E12F2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E12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A1ED3">
        <w:rPr>
          <w:rFonts w:ascii="Times New Roman" w:hAnsi="Times New Roman" w:cs="Times New Roman"/>
          <w:sz w:val="24"/>
          <w:szCs w:val="24"/>
        </w:rPr>
        <w:t>7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E12F2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Зиминского городского</w:t>
      </w:r>
      <w:r w:rsidR="00BC03C9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, систематически занимающегося физической культурой и спортом, в общей численности населения Зиминского городского </w:t>
      </w:r>
      <w:r w:rsidR="00BC03C9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в возрасте 3-79 лет до </w:t>
      </w:r>
      <w:r w:rsidR="00CE359F">
        <w:rPr>
          <w:rFonts w:ascii="Times New Roman" w:hAnsi="Times New Roman" w:cs="Times New Roman"/>
          <w:sz w:val="24"/>
          <w:szCs w:val="24"/>
        </w:rPr>
        <w:t>4</w:t>
      </w:r>
      <w:r w:rsidR="005F0174">
        <w:rPr>
          <w:rFonts w:ascii="Times New Roman" w:hAnsi="Times New Roman" w:cs="Times New Roman"/>
          <w:sz w:val="24"/>
          <w:szCs w:val="24"/>
        </w:rPr>
        <w:t>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5F0174">
        <w:rPr>
          <w:rFonts w:ascii="Times New Roman" w:hAnsi="Times New Roman" w:cs="Times New Roman"/>
          <w:sz w:val="24"/>
          <w:szCs w:val="24"/>
        </w:rPr>
        <w:t>7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2)Увеличение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5F0174">
        <w:rPr>
          <w:rFonts w:cs="Times New Roman"/>
          <w:szCs w:val="24"/>
        </w:rPr>
        <w:t>37</w:t>
      </w:r>
      <w:r w:rsidRPr="00C5742D">
        <w:rPr>
          <w:rFonts w:cs="Times New Roman"/>
          <w:szCs w:val="24"/>
        </w:rPr>
        <w:t>% в 202</w:t>
      </w:r>
      <w:r w:rsidR="00281F5E">
        <w:rPr>
          <w:rFonts w:cs="Times New Roman"/>
          <w:szCs w:val="24"/>
        </w:rPr>
        <w:t>7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E12F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являтьсяследующая информация:</w:t>
      </w:r>
    </w:p>
    <w:p w:rsidR="00CA1DC3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1)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>Доля населения Зиминского городского</w:t>
      </w:r>
      <w:r w:rsidR="00BC03C9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 xml:space="preserve">, систематически занимающегося физической культурой и спортом, в общей численности населения Зиминского городского </w:t>
      </w:r>
      <w:r w:rsidR="00BC03C9">
        <w:rPr>
          <w:rFonts w:cs="Times New Roman"/>
          <w:szCs w:val="24"/>
        </w:rPr>
        <w:t xml:space="preserve">округа Иркутской области </w:t>
      </w:r>
      <w:r w:rsidRPr="00C5742D">
        <w:rPr>
          <w:rFonts w:cs="Times New Roman"/>
          <w:szCs w:val="24"/>
        </w:rPr>
        <w:t>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BA7F36" w:rsidRPr="00E12F25" w:rsidRDefault="000F5FE5" w:rsidP="00E12F25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информация содержитсяв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«Сведения о физической культуре и спорту».</w:t>
      </w:r>
    </w:p>
    <w:p w:rsidR="00BA7F36" w:rsidRDefault="00CA1DC3" w:rsidP="00E12F2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568"/>
        <w:gridCol w:w="1417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81F5E" w:rsidRPr="00817A71" w:rsidTr="00E743B3">
        <w:trPr>
          <w:trHeight w:val="446"/>
        </w:trPr>
        <w:tc>
          <w:tcPr>
            <w:tcW w:w="9923" w:type="dxa"/>
            <w:gridSpan w:val="13"/>
          </w:tcPr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Зиминского городского </w:t>
            </w:r>
            <w:r w:rsidR="00BC03C9" w:rsidRPr="00BC03C9">
              <w:rPr>
                <w:rFonts w:ascii="Times New Roman" w:hAnsi="Times New Roman" w:cs="Times New Roman"/>
                <w:sz w:val="16"/>
                <w:szCs w:val="16"/>
              </w:rPr>
              <w:t>округа Иркутской области</w:t>
            </w: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«Развитие физической культуры и спорта» на 2020-202</w:t>
            </w:r>
            <w:r w:rsidR="007A1ED3" w:rsidRPr="00BC03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</w:tr>
      <w:tr w:rsidR="00281F5E" w:rsidRPr="00817A71" w:rsidTr="00E743B3">
        <w:trPr>
          <w:trHeight w:val="222"/>
        </w:trPr>
        <w:tc>
          <w:tcPr>
            <w:tcW w:w="568" w:type="dxa"/>
            <w:vMerge w:val="restart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№ п</w:t>
            </w:r>
            <w:r w:rsidRPr="00BC03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417" w:type="dxa"/>
            <w:vMerge w:val="restart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целевого</w:t>
            </w:r>
          </w:p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показателя результативности</w:t>
            </w:r>
          </w:p>
        </w:tc>
        <w:tc>
          <w:tcPr>
            <w:tcW w:w="709" w:type="dxa"/>
            <w:vMerge w:val="restart"/>
          </w:tcPr>
          <w:p w:rsidR="00BC03C9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r w:rsidR="00BC03C9" w:rsidRPr="00BC03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81F5E" w:rsidRPr="00BC03C9" w:rsidRDefault="00BC03C9" w:rsidP="00BC03C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изм.</w:t>
            </w:r>
          </w:p>
        </w:tc>
        <w:tc>
          <w:tcPr>
            <w:tcW w:w="709" w:type="dxa"/>
            <w:vMerge w:val="restart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Отчетный период</w:t>
            </w:r>
          </w:p>
        </w:tc>
        <w:tc>
          <w:tcPr>
            <w:tcW w:w="6520" w:type="dxa"/>
            <w:gridSpan w:val="9"/>
          </w:tcPr>
          <w:p w:rsidR="00281F5E" w:rsidRPr="00BC03C9" w:rsidRDefault="00281F5E" w:rsidP="00281F5E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Значение целевого показателя</w:t>
            </w:r>
          </w:p>
        </w:tc>
      </w:tr>
      <w:tr w:rsidR="00281F5E" w:rsidRPr="00817A71" w:rsidTr="00E743B3">
        <w:trPr>
          <w:trHeight w:val="143"/>
        </w:trPr>
        <w:tc>
          <w:tcPr>
            <w:tcW w:w="568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Текущий период</w:t>
            </w:r>
          </w:p>
        </w:tc>
        <w:tc>
          <w:tcPr>
            <w:tcW w:w="5670" w:type="dxa"/>
            <w:gridSpan w:val="8"/>
            <w:vAlign w:val="center"/>
          </w:tcPr>
          <w:p w:rsidR="00281F5E" w:rsidRPr="00BC03C9" w:rsidRDefault="00281F5E" w:rsidP="00281F5E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Плановый период</w:t>
            </w:r>
          </w:p>
        </w:tc>
      </w:tr>
      <w:tr w:rsidR="00BC03C9" w:rsidRPr="00817A71" w:rsidTr="00E743B3">
        <w:trPr>
          <w:trHeight w:val="227"/>
        </w:trPr>
        <w:tc>
          <w:tcPr>
            <w:tcW w:w="568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34352" w:rsidRPr="00BC03C9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vAlign w:val="center"/>
          </w:tcPr>
          <w:p w:rsidR="00334352" w:rsidRPr="00BC03C9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8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BC03C9" w:rsidRPr="00817A71" w:rsidTr="00E743B3">
        <w:trPr>
          <w:trHeight w:val="3862"/>
        </w:trPr>
        <w:tc>
          <w:tcPr>
            <w:tcW w:w="56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281F5E" w:rsidRPr="00BC03C9" w:rsidRDefault="00281F5E" w:rsidP="001D21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Доля населения Зиминского городского</w:t>
            </w:r>
            <w:r w:rsidR="001D216B">
              <w:rPr>
                <w:rFonts w:ascii="Times New Roman" w:hAnsi="Times New Roman" w:cs="Times New Roman"/>
                <w:sz w:val="16"/>
                <w:szCs w:val="16"/>
              </w:rPr>
              <w:t xml:space="preserve"> округа Иркутской области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, систематически занимающегося физической культурой и спортом, в общей численности населения Зиминского городского </w:t>
            </w:r>
            <w:r w:rsidR="001D216B">
              <w:rPr>
                <w:rFonts w:ascii="Times New Roman" w:hAnsi="Times New Roman" w:cs="Times New Roman"/>
                <w:sz w:val="16"/>
                <w:szCs w:val="16"/>
              </w:rPr>
              <w:t xml:space="preserve">округа Иркутской области 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в возрасте 3-79 лет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0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8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3C9" w:rsidRPr="00817A71" w:rsidTr="00E743B3">
        <w:trPr>
          <w:trHeight w:val="2095"/>
        </w:trPr>
        <w:tc>
          <w:tcPr>
            <w:tcW w:w="56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281F5E" w:rsidRPr="00BC03C9" w:rsidRDefault="00281F5E" w:rsidP="00E743B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7F36" w:rsidRDefault="00BA7F36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ЕЁ РЕАЛИЗАЦИИ</w:t>
      </w:r>
    </w:p>
    <w:p w:rsidR="002739F6" w:rsidRPr="00C5742D" w:rsidRDefault="002739F6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723F4C">
        <w:rPr>
          <w:rFonts w:ascii="Times New Roman" w:hAnsi="Times New Roman" w:cs="Times New Roman"/>
          <w:sz w:val="24"/>
          <w:szCs w:val="24"/>
        </w:rPr>
        <w:t>отдел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723F4C" w:rsidRPr="00C5742D">
        <w:rPr>
          <w:rFonts w:ascii="Times New Roman" w:hAnsi="Times New Roman" w:cs="Times New Roman"/>
          <w:sz w:val="24"/>
          <w:szCs w:val="24"/>
        </w:rPr>
        <w:t xml:space="preserve">и </w:t>
      </w:r>
      <w:r w:rsidR="008C0196" w:rsidRPr="00C5742D">
        <w:rPr>
          <w:rFonts w:ascii="Times New Roman" w:hAnsi="Times New Roman" w:cs="Times New Roman"/>
          <w:sz w:val="24"/>
          <w:szCs w:val="24"/>
        </w:rPr>
        <w:t>спорту</w:t>
      </w:r>
      <w:r w:rsidR="00FF0F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  <w:r w:rsidR="00E743B3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="00E743B3">
        <w:rPr>
          <w:rFonts w:ascii="Times New Roman" w:hAnsi="Times New Roman" w:cs="Times New Roman"/>
          <w:sz w:val="24"/>
          <w:szCs w:val="24"/>
        </w:rPr>
        <w:t xml:space="preserve">округа Иркутской  области </w:t>
      </w:r>
      <w:r w:rsidRPr="00C5742D">
        <w:rPr>
          <w:rFonts w:ascii="Times New Roman" w:hAnsi="Times New Roman" w:cs="Times New Roman"/>
          <w:sz w:val="24"/>
          <w:szCs w:val="24"/>
        </w:rPr>
        <w:t>и в Управление по финансам и налогам администрации Зиминского городского</w:t>
      </w:r>
      <w:r w:rsidR="00E743B3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</w:t>
      </w:r>
      <w:r w:rsidR="00E058A6">
        <w:rPr>
          <w:rFonts w:ascii="Times New Roman" w:hAnsi="Times New Roman" w:cs="Times New Roman"/>
          <w:sz w:val="24"/>
          <w:szCs w:val="24"/>
        </w:rPr>
        <w:t>Зиминского городского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программЗиминского городского</w:t>
      </w:r>
      <w:r w:rsidR="00E058A6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B37DB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10. ОЦЕНКА ЭФФЕКТИВНОСТИ РЕАЛИЗАЦИИ МУНИЦИПАЛЬНОЙ ПРОГРАММЫ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Критериями оценки эффективности реализации муниципальной программы являются:</w:t>
      </w:r>
    </w:p>
    <w:p w:rsidR="00E872D0" w:rsidRPr="00C5742D" w:rsidRDefault="00EF34E4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72D0" w:rsidRPr="00C5742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степени достижения запланированных результатов реализации муниципальной программы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7CE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ПОДПРОГРАММА 1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281F5E" w:rsidRPr="001C42BB">
        <w:rPr>
          <w:rFonts w:ascii="Times New Roman" w:hAnsi="Times New Roman" w:cs="Times New Roman"/>
          <w:b/>
          <w:sz w:val="24"/>
          <w:szCs w:val="24"/>
        </w:rPr>
        <w:t>7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ГОРОДСКОГО </w:t>
      </w:r>
    </w:p>
    <w:p w:rsidR="00BB57CE" w:rsidRPr="00E645BB" w:rsidRDefault="00E5328D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ОКРУГА ИРКУТСКОЙ ОБЛАСТИ</w:t>
      </w:r>
      <w:r w:rsidR="00BB57CE" w:rsidRPr="00E645BB">
        <w:rPr>
          <w:rFonts w:ascii="Times New Roman" w:hAnsi="Times New Roman" w:cs="Times New Roman"/>
          <w:b/>
          <w:sz w:val="24"/>
          <w:szCs w:val="24"/>
        </w:rPr>
        <w:t>«РАЗВИТИЕ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</w:t>
      </w:r>
      <w:r w:rsidR="00F14225">
        <w:rPr>
          <w:rFonts w:ascii="Times New Roman" w:hAnsi="Times New Roman" w:cs="Times New Roman"/>
          <w:b/>
          <w:sz w:val="24"/>
          <w:szCs w:val="24"/>
        </w:rPr>
        <w:t>7</w:t>
      </w:r>
      <w:r w:rsidR="00BB57CE"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E5328D" w:rsidP="00E5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городского округа в лице о</w:t>
            </w:r>
            <w:r w:rsidR="00391732" w:rsidRPr="00E645B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39173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7DC" w:rsidRDefault="00BB57CE" w:rsidP="00B1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и спорту администрации Зиминского городского </w:t>
            </w:r>
            <w:r w:rsidR="00B137DC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</w:p>
          <w:p w:rsidR="00BB57CE" w:rsidRPr="00E645BB" w:rsidRDefault="00BB57CE" w:rsidP="00B137DC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учреждение «Спортивная школа» Зиминского городского муниципального образования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E5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массового спорта и спорта высших достижений на территории Зиминского городского</w:t>
            </w:r>
            <w:r w:rsidR="00E5328D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устойчивой потребности всех категорий населения Зиминского городского </w:t>
            </w:r>
            <w:r w:rsidR="00E5328D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8F5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1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C905A0" w:rsidRDefault="00BB57CE" w:rsidP="00B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1.Доля детей и молодежи (возраст 3 - 29 лет), систематически занимающихсяфизической культурой и спортом, в общей численности детей и молодежи;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2. 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граждансреднего возраста;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3. 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гражданстаршего возраста;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. Доля занимающихся, имеющих спортивные разряды и 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звания</w:t>
            </w:r>
            <w:r w:rsidR="003B1502" w:rsidRPr="00C9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817A71" w:rsidRDefault="00BF2673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228577,5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223111,1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BF2673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13666,60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817A71" w:rsidRDefault="00BF2673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18938,10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 177,70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 xml:space="preserve">32157,00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817A71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38126,80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6B73DD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36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 963,00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20148,90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4225" w:rsidRPr="00817A71" w:rsidRDefault="006B73DD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36 933,0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 xml:space="preserve">5 466,40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688,8 тыс. руб.</w:t>
            </w:r>
          </w:p>
          <w:p w:rsidR="00C52131" w:rsidRPr="00817A71" w:rsidRDefault="0036217C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482,30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 xml:space="preserve">507,40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817A71" w:rsidRDefault="0036217C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391,40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>396,50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- 0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год  -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молодежидо 8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граждансреднего возраста до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гражданстаршего возраста до 10,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1033FA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E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</w:t>
            </w:r>
            <w:r w:rsidR="00EF3B8E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муниципальной подпрограммы осуществляет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мэра Зиминского городского округа по социальным вопросам.</w:t>
            </w:r>
          </w:p>
        </w:tc>
      </w:tr>
    </w:tbl>
    <w:p w:rsidR="001C42BB" w:rsidRDefault="001C42BB" w:rsidP="00BB5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ПОДПРОГРАММЫ</w:t>
      </w:r>
    </w:p>
    <w:p w:rsidR="00BB57CE" w:rsidRPr="00E645BB" w:rsidRDefault="00BB57CE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годы(далее – Подпрограмма 1) разработана в рамках муниципальной программы Зиминского городского </w:t>
      </w:r>
      <w:r w:rsidR="000B7102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Зиминского городского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7634A0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Зиминском городском </w:t>
      </w:r>
      <w:r w:rsidR="00D818DF">
        <w:rPr>
          <w:rFonts w:ascii="Times New Roman" w:eastAsia="Times New Roman" w:hAnsi="Times New Roman" w:cs="Times New Roman"/>
          <w:sz w:val="24"/>
          <w:szCs w:val="24"/>
        </w:rPr>
        <w:t xml:space="preserve">округе Иркутской области 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ий к удовлетворительному</w:t>
      </w:r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46718C">
        <w:rPr>
          <w:rFonts w:ascii="Times New Roman" w:hAnsi="Times New Roman" w:cs="Times New Roman"/>
          <w:sz w:val="24"/>
          <w:szCs w:val="24"/>
        </w:rPr>
        <w:t>ил</w:t>
      </w:r>
      <w:r w:rsidR="00630F58" w:rsidRPr="0046718C">
        <w:rPr>
          <w:rFonts w:ascii="Times New Roman" w:hAnsi="Times New Roman" w:cs="Times New Roman"/>
          <w:sz w:val="24"/>
          <w:szCs w:val="24"/>
        </w:rPr>
        <w:t>50,6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</w:t>
      </w:r>
      <w:r w:rsidR="00BF6BA1" w:rsidRPr="0046718C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46718C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 старшего возраста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46718C">
        <w:rPr>
          <w:rFonts w:ascii="Times New Roman" w:hAnsi="Times New Roman" w:cs="Times New Roman"/>
          <w:sz w:val="24"/>
          <w:szCs w:val="24"/>
        </w:rPr>
        <w:t>3,6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46718C">
        <w:rPr>
          <w:rFonts w:ascii="Times New Roman" w:hAnsi="Times New Roman" w:cs="Times New Roman"/>
          <w:sz w:val="24"/>
          <w:szCs w:val="24"/>
        </w:rPr>
        <w:t>,</w:t>
      </w:r>
      <w:r w:rsidRPr="0046718C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46718C">
        <w:rPr>
          <w:rFonts w:ascii="Times New Roman" w:hAnsi="Times New Roman" w:cs="Times New Roman"/>
          <w:sz w:val="24"/>
          <w:szCs w:val="24"/>
        </w:rPr>
        <w:t>70,5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F6BA1" w:rsidRPr="0046718C" w:rsidRDefault="00C364CC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46718C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46718C">
        <w:rPr>
          <w:rFonts w:ascii="Times New Roman" w:hAnsi="Times New Roman" w:cs="Times New Roman"/>
          <w:sz w:val="24"/>
          <w:szCs w:val="24"/>
        </w:rPr>
        <w:t xml:space="preserve">,а также национальным проектом «Спорт – норма жизни» </w:t>
      </w:r>
      <w:r w:rsidR="004E2995" w:rsidRPr="0046718C">
        <w:rPr>
          <w:rFonts w:ascii="Times New Roman" w:hAnsi="Times New Roman" w:cs="Times New Roman"/>
          <w:sz w:val="24"/>
          <w:szCs w:val="24"/>
        </w:rPr>
        <w:t>до 202</w:t>
      </w:r>
      <w:r w:rsidR="00142B16">
        <w:rPr>
          <w:rFonts w:ascii="Times New Roman" w:hAnsi="Times New Roman" w:cs="Times New Roman"/>
          <w:sz w:val="24"/>
          <w:szCs w:val="24"/>
        </w:rPr>
        <w:t>7</w:t>
      </w:r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года планируется достигнуть необходимые значения целевых показателей</w:t>
      </w:r>
      <w:r w:rsidR="00BF6BA1" w:rsidRPr="0046718C">
        <w:rPr>
          <w:rFonts w:ascii="Times New Roman" w:hAnsi="Times New Roman" w:cs="Times New Roman"/>
          <w:sz w:val="24"/>
          <w:szCs w:val="24"/>
        </w:rPr>
        <w:t>:</w:t>
      </w:r>
    </w:p>
    <w:p w:rsidR="00BF6BA1" w:rsidRPr="0046718C" w:rsidRDefault="00435553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4671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46718C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6919B3" w:rsidRPr="0046718C">
        <w:rPr>
          <w:rFonts w:ascii="Times New Roman" w:hAnsi="Times New Roman" w:cs="Times New Roman"/>
          <w:sz w:val="24"/>
          <w:szCs w:val="24"/>
        </w:rPr>
        <w:t>8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6 </w:t>
      </w:r>
      <w:r w:rsidRPr="0046718C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</w:t>
      </w:r>
      <w:r w:rsidR="006919B3" w:rsidRPr="0046718C">
        <w:rPr>
          <w:rFonts w:ascii="Times New Roman" w:hAnsi="Times New Roman" w:cs="Times New Roman"/>
          <w:sz w:val="24"/>
          <w:szCs w:val="24"/>
        </w:rPr>
        <w:t>40,</w:t>
      </w:r>
      <w:r w:rsidR="00D76762" w:rsidRPr="0046718C">
        <w:rPr>
          <w:rFonts w:ascii="Times New Roman" w:hAnsi="Times New Roman" w:cs="Times New Roman"/>
          <w:sz w:val="24"/>
          <w:szCs w:val="24"/>
        </w:rPr>
        <w:t>8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 старшего возраста</w:t>
      </w:r>
      <w:r w:rsidR="006919B3" w:rsidRPr="0046718C">
        <w:rPr>
          <w:rFonts w:ascii="Times New Roman" w:hAnsi="Times New Roman" w:cs="Times New Roman"/>
          <w:sz w:val="24"/>
          <w:szCs w:val="24"/>
        </w:rPr>
        <w:t>10,</w:t>
      </w:r>
      <w:r w:rsidR="00D76762" w:rsidRPr="0046718C">
        <w:rPr>
          <w:rFonts w:ascii="Times New Roman" w:hAnsi="Times New Roman" w:cs="Times New Roman"/>
          <w:sz w:val="24"/>
          <w:szCs w:val="24"/>
        </w:rPr>
        <w:t>6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Default="00BF6BA1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lastRenderedPageBreak/>
        <w:t>Доля занимающихся, имеющих спортивные 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435553" w:rsidRPr="0046718C">
        <w:rPr>
          <w:rFonts w:ascii="Times New Roman" w:hAnsi="Times New Roman" w:cs="Times New Roman"/>
          <w:sz w:val="24"/>
          <w:szCs w:val="24"/>
        </w:rPr>
        <w:t>4</w:t>
      </w:r>
      <w:r w:rsidR="00D76762" w:rsidRPr="0046718C">
        <w:rPr>
          <w:rFonts w:ascii="Times New Roman" w:hAnsi="Times New Roman" w:cs="Times New Roman"/>
          <w:sz w:val="24"/>
          <w:szCs w:val="24"/>
        </w:rPr>
        <w:t>1</w:t>
      </w:r>
      <w:r w:rsidRPr="0046718C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C97358" w:rsidRPr="00E645BB" w:rsidRDefault="00C97358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54D" w:rsidRPr="001C42BB" w:rsidRDefault="00BB57CE" w:rsidP="00C9735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 xml:space="preserve">, выход г. Зимы на ведущие позиции среди городов Иркутской области по направлению массового спорта и продвижение Зиминского городского </w:t>
      </w:r>
      <w:r w:rsidR="005E2B59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</w:t>
      </w:r>
      <w:r w:rsidR="005E2B59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 В этом отношении ситуация в г. Зиме далека от оптимальной.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Общая ситуация в сфере физической культуры и массового спорта в Зиминском городском </w:t>
      </w:r>
      <w:r w:rsidR="005E2B59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с учетом накопившихся проблем характеризуется:</w:t>
      </w:r>
    </w:p>
    <w:p w:rsidR="00BB57CE" w:rsidRPr="00E645BB" w:rsidRDefault="00BB57CE" w:rsidP="001453A1">
      <w:pPr>
        <w:pStyle w:val="a3"/>
        <w:numPr>
          <w:ilvl w:val="0"/>
          <w:numId w:val="8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1453A1">
      <w:pPr>
        <w:pStyle w:val="a3"/>
        <w:numPr>
          <w:ilvl w:val="0"/>
          <w:numId w:val="8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C9735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физической культуры и массового спорта в г. Зиме существует ряд проблем: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снижение доступности занятий физической культурой и спортом большей части населения Зиминского городского</w:t>
      </w:r>
      <w:r w:rsidR="001453A1">
        <w:rPr>
          <w:rFonts w:cs="Times New Roman"/>
          <w:szCs w:val="24"/>
        </w:rPr>
        <w:t xml:space="preserve"> округа Иркутской области</w:t>
      </w:r>
      <w:r w:rsidRPr="00E645BB">
        <w:rPr>
          <w:rFonts w:cs="Times New Roman"/>
          <w:szCs w:val="24"/>
        </w:rPr>
        <w:t>, особенно среды малообеспеченных категорий граждан;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r w:rsidR="00D83C8E" w:rsidRPr="00E645BB">
        <w:rPr>
          <w:rFonts w:ascii="Times New Roman" w:hAnsi="Times New Roman" w:cs="Times New Roman"/>
          <w:sz w:val="24"/>
          <w:szCs w:val="24"/>
        </w:rPr>
        <w:t xml:space="preserve">г.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современных спортивных сооружений для развития на территории Зиминского городского </w:t>
      </w:r>
      <w:r w:rsidR="001453A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</w:t>
      </w:r>
      <w:r w:rsidR="00FD38F9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C9735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3A3ADE" w:rsidRDefault="00BB57CE" w:rsidP="001C42B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г. Зимы наивысших спортивных результатов.</w:t>
      </w:r>
    </w:p>
    <w:p w:rsidR="00BB57CE" w:rsidRPr="001C42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BB57CE" w:rsidRPr="00FD38F9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Целью подпрограммы «Развитие массового спорта и спорта высших достижений» на 2020-202</w:t>
      </w:r>
      <w:r w:rsidR="00C97358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Зиминского городского</w:t>
      </w:r>
      <w:r w:rsidR="001453A1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Развитие устойчивой потребности всех категорий населения Зиминского городского </w:t>
      </w:r>
      <w:r w:rsidR="001453A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1C42BB" w:rsidRDefault="00ED6EEC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7CE" w:rsidRPr="001C42BB" w:rsidRDefault="00BB57CE" w:rsidP="00C97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3190">
        <w:rPr>
          <w:rFonts w:ascii="Times New Roman" w:hAnsi="Times New Roman" w:cs="Times New Roman"/>
          <w:i/>
          <w:sz w:val="24"/>
          <w:szCs w:val="24"/>
        </w:rPr>
        <w:t>7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1277"/>
        <w:gridCol w:w="1134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340B9" w:rsidRPr="00336899" w:rsidTr="00E50B80">
        <w:trPr>
          <w:trHeight w:val="34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0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</w:tcPr>
          <w:p w:rsid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A340B9" w:rsidRPr="00336899" w:rsidTr="00E50B80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186F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228577,5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17355,4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19420,4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1819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26685,1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32548,4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186F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38523,3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1453A1" w:rsidP="00115EA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36963,0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20148,9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36933,0</w:t>
            </w:r>
          </w:p>
        </w:tc>
      </w:tr>
      <w:tr w:rsidR="00A340B9" w:rsidRPr="00336899" w:rsidTr="00E50B80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FF0FA6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223111,1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13666,6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18938,1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53582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26177,7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32157,0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C9735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38126,8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36963,0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20148,9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A1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36933,0</w:t>
            </w:r>
          </w:p>
        </w:tc>
      </w:tr>
      <w:tr w:rsidR="00A340B9" w:rsidRPr="00336899" w:rsidTr="00E50B80">
        <w:trPr>
          <w:trHeight w:val="64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5466,4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3688,8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482,3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507,4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391,4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6202B7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396,5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340B9" w:rsidRPr="0049425A" w:rsidTr="00E50B80">
        <w:trPr>
          <w:trHeight w:val="7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5095" w:rsidRPr="0096370D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96370D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96370D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318"/>
        <w:gridCol w:w="1706"/>
        <w:gridCol w:w="2128"/>
        <w:gridCol w:w="6"/>
        <w:gridCol w:w="2017"/>
        <w:gridCol w:w="1872"/>
        <w:gridCol w:w="1736"/>
      </w:tblGrid>
      <w:tr w:rsidR="001D256C" w:rsidTr="00A40F44">
        <w:trPr>
          <w:trHeight w:val="480"/>
        </w:trPr>
        <w:tc>
          <w:tcPr>
            <w:tcW w:w="937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18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6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gridSpan w:val="2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625" w:type="dxa"/>
            <w:gridSpan w:val="3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1D256C" w:rsidTr="00A40F44">
        <w:trPr>
          <w:trHeight w:val="480"/>
        </w:trPr>
        <w:tc>
          <w:tcPr>
            <w:tcW w:w="937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72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228577,50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87" w:rsidRPr="00D57C45" w:rsidRDefault="0096370D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223111,10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5466,40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17355,40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13666,60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3688,80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19420,40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18938,10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26685,10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26177,70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32548,40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32157,0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38523,30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38126,80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396,50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20148,90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20148,9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36933,0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36933,0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7606,9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7606,9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1504,8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и содействие указанной деятельности:-  ВСК «Русь»; АОФРБ «ЭРОН»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218752,80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215270,10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3482,70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15893,3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12893,3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18532,6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18493,7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25376,9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0F6" w:rsidRPr="00D57C45" w:rsidRDefault="005870F6" w:rsidP="0058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25334,0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30947,3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30555,9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36597,8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36588,3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тренировочные сборы и крупные 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2217,8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1983,7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6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1C42BB" w:rsidRDefault="00BB57CE" w:rsidP="001637D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условия для развития физической культуры, массового спорта и спорта высших достижений на территории Зиминского городского</w:t>
      </w:r>
      <w:r w:rsidR="00611B8D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49425A">
        <w:rPr>
          <w:rFonts w:ascii="Times New Roman" w:hAnsi="Times New Roman" w:cs="Times New Roman"/>
          <w:sz w:val="24"/>
          <w:szCs w:val="24"/>
        </w:rPr>
        <w:t>.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Программа предусматривает достижение к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BB57CE" w:rsidRPr="0049425A" w:rsidRDefault="00BB57CE" w:rsidP="001637D4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</w:t>
      </w:r>
      <w:r w:rsidR="001637D4">
        <w:rPr>
          <w:rFonts w:ascii="Times New Roman" w:hAnsi="Times New Roman" w:cs="Times New Roman"/>
          <w:sz w:val="24"/>
          <w:szCs w:val="24"/>
        </w:rPr>
        <w:t>граждан среднего возраста до 41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подготовкудо</w:t>
      </w:r>
      <w:r w:rsidR="001637D4">
        <w:rPr>
          <w:rFonts w:ascii="Times New Roman" w:hAnsi="Times New Roman" w:cs="Times New Roman"/>
          <w:sz w:val="24"/>
          <w:szCs w:val="24"/>
        </w:rPr>
        <w:t>41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1637D4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r w:rsidRPr="001336B9">
        <w:rPr>
          <w:rFonts w:ascii="Times New Roman" w:hAnsi="Times New Roman" w:cs="Times New Roman"/>
          <w:sz w:val="24"/>
          <w:szCs w:val="24"/>
        </w:rPr>
        <w:t>«Доля занимающихся, имеющих спортивные разряды и звания</w:t>
      </w:r>
      <w:r w:rsidR="008C547C" w:rsidRPr="001336B9">
        <w:rPr>
          <w:rFonts w:ascii="Times New Roman" w:hAnsi="Times New Roman" w:cs="Times New Roman"/>
          <w:sz w:val="24"/>
          <w:szCs w:val="24"/>
        </w:rPr>
        <w:t>,</w:t>
      </w:r>
      <w:r w:rsidRPr="001336B9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подготовку», является</w:t>
      </w:r>
      <w:r w:rsidRPr="0049425A">
        <w:rPr>
          <w:rFonts w:ascii="Times New Roman" w:hAnsi="Times New Roman" w:cs="Times New Roman"/>
          <w:sz w:val="24"/>
          <w:szCs w:val="24"/>
        </w:rPr>
        <w:t xml:space="preserve"> информация о 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>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567"/>
        <w:gridCol w:w="1702"/>
        <w:gridCol w:w="850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36899" w:rsidRPr="00336899" w:rsidTr="00851275">
        <w:trPr>
          <w:trHeight w:val="471"/>
        </w:trPr>
        <w:tc>
          <w:tcPr>
            <w:tcW w:w="10916" w:type="dxa"/>
            <w:gridSpan w:val="13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</w:t>
            </w:r>
            <w:r w:rsidR="00611B8D">
              <w:rPr>
                <w:rFonts w:ascii="Times New Roman" w:hAnsi="Times New Roman" w:cs="Times New Roman"/>
                <w:sz w:val="20"/>
                <w:szCs w:val="20"/>
              </w:rPr>
              <w:t>округа Иркутской области</w:t>
            </w: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2020-2027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336899" w:rsidRPr="00336899" w:rsidTr="00851275">
        <w:trPr>
          <w:trHeight w:val="226"/>
        </w:trPr>
        <w:tc>
          <w:tcPr>
            <w:tcW w:w="567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336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2" w:type="dxa"/>
            <w:vMerge w:val="restart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850" w:type="dxa"/>
            <w:vMerge w:val="restart"/>
            <w:vAlign w:val="center"/>
          </w:tcPr>
          <w:p w:rsidR="00336899" w:rsidRPr="00336899" w:rsidRDefault="00336899" w:rsidP="0085127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85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изм</w:t>
            </w:r>
            <w:r w:rsidR="0085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10"/>
          </w:tcPr>
          <w:p w:rsidR="00336899" w:rsidRPr="00336899" w:rsidRDefault="00336899" w:rsidP="0085127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336899" w:rsidRPr="00336899" w:rsidTr="00851275">
        <w:trPr>
          <w:trHeight w:val="145"/>
        </w:trPr>
        <w:tc>
          <w:tcPr>
            <w:tcW w:w="567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670" w:type="dxa"/>
            <w:gridSpan w:val="8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6899" w:rsidRPr="00336899" w:rsidTr="00851275">
        <w:trPr>
          <w:trHeight w:val="145"/>
        </w:trPr>
        <w:tc>
          <w:tcPr>
            <w:tcW w:w="567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6899" w:rsidRPr="00336899" w:rsidTr="00851275">
        <w:trPr>
          <w:trHeight w:val="1846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99" w:rsidRPr="00336899" w:rsidTr="00851275">
        <w:trPr>
          <w:trHeight w:val="2316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лет),систематически занимающихся физической культурой и спортом,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36899" w:rsidRPr="00336899" w:rsidTr="00216093">
        <w:trPr>
          <w:trHeight w:val="1124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лет),систематически занимающихся физической культурой и спортом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старшего возраста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63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6899" w:rsidRPr="0049425A" w:rsidTr="00851275">
        <w:trPr>
          <w:trHeight w:val="922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49425A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589D" w:rsidRDefault="00BA589D" w:rsidP="00BA589D">
      <w:pPr>
        <w:rPr>
          <w:rFonts w:ascii="Times New Roman" w:hAnsi="Times New Roman" w:cs="Times New Roman"/>
          <w:i/>
          <w:sz w:val="24"/>
          <w:szCs w:val="24"/>
        </w:rPr>
      </w:pPr>
    </w:p>
    <w:p w:rsidR="00BB57CE" w:rsidRPr="001C42BB" w:rsidRDefault="00BB57CE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8. МЕХАНИЗМ РЕАЛИЗАЦИИ ПОДПРОГРАММЫ И КОНТРОЛЬ ЗА ХОДОМ ЕЁ РЕАЛИЗАЦИИ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>отдел по физической культуре и спорту администрации Зиминского городского</w:t>
      </w:r>
      <w:r w:rsidR="00611B8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611B8D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426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Отдел по физической культуре и спорту администрации Зиминского городского</w:t>
      </w:r>
      <w:r w:rsidR="00611B8D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>;</w:t>
      </w:r>
    </w:p>
    <w:p w:rsidR="00BB57CE" w:rsidRPr="00C5742D" w:rsidRDefault="00BB57CE" w:rsidP="00611B8D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426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Муниципальное автономное учреждение «Спортивная школа» Зиминского городского муниципального образования;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</w:t>
      </w:r>
      <w:r w:rsidR="00E042FD">
        <w:rPr>
          <w:rFonts w:ascii="Times New Roman" w:hAnsi="Times New Roman" w:cs="Times New Roman"/>
          <w:sz w:val="24"/>
          <w:szCs w:val="24"/>
        </w:rPr>
        <w:t>иминского городского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 Зиминского городского</w:t>
      </w:r>
      <w:r w:rsidR="00E042F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</w:t>
      </w:r>
      <w:r w:rsidR="00E042FD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5102DF" w:rsidRDefault="005102DF" w:rsidP="005102DF">
      <w:pPr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5102DF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 w:rsidP="005102DF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1C42BB" w:rsidRDefault="00C75CE9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11.2. </w:t>
      </w:r>
      <w:r w:rsidR="00762754" w:rsidRPr="001C42BB">
        <w:rPr>
          <w:rFonts w:ascii="Times New Roman" w:hAnsi="Times New Roman" w:cs="Times New Roman"/>
          <w:b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ГОРОДСКОГО </w:t>
      </w:r>
    </w:p>
    <w:p w:rsidR="00762754" w:rsidRPr="00657625" w:rsidRDefault="007F1AA7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ОКРУГА ИРКУТСКОЙ ОБЛАСТИ </w:t>
      </w:r>
      <w:r w:rsidR="00762754"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="00762754"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1C42BB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C3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AE2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F1AA7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 в лице о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Комитет по образованию администрации Зиминского городского</w:t>
            </w:r>
            <w:r w:rsidR="007F1A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спортивного резерва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городского</w:t>
            </w:r>
            <w:r w:rsidR="007F1A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2B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выступления спортсменов Зиминского городского </w:t>
            </w:r>
            <w:r w:rsidR="002B47D6"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30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7D6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C75CE9" w:rsidRPr="002B4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7D6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школах;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2B4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  <w:r w:rsidRPr="00C30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B4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B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2675,1</w:t>
            </w:r>
            <w:r w:rsidRPr="00C30B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. руб., по годам:</w:t>
            </w:r>
          </w:p>
          <w:p w:rsidR="00C52131" w:rsidRPr="00657625" w:rsidRDefault="00282460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- 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13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C52131" w:rsidRPr="00657625" w:rsidRDefault="0054166F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512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034,7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3B71B0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2016,6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0B00B5" w:rsidRDefault="00075978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2 168,6</w:t>
            </w:r>
            <w:r w:rsidR="000B00B5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547918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2 168,6</w:t>
            </w:r>
            <w:r w:rsidR="00547918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E24BF" w:rsidRPr="00657625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2 168,6</w:t>
            </w:r>
            <w:r w:rsidR="00AE2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5102DF" w:rsidRDefault="00762754" w:rsidP="0054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51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 до 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43F78" w:rsidRPr="0051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76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</w:t>
            </w:r>
            <w:r w:rsidR="0076774D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5102DF" w:rsidRDefault="005102DF" w:rsidP="007C01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ХАРАКТЕРИСТИКАТЕКУЩЕГО СОСТОЯНИЯ СФЕРЫ РЕАЛИЗАЦИИ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49426E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годы(далее – Подпрограмма 2) разработана в рамках муниципальной программы Зиминского городского </w:t>
      </w:r>
      <w:r w:rsidR="0076774D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Зиминского городского</w:t>
      </w:r>
      <w:r w:rsidR="0076774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49426E">
        <w:rPr>
          <w:rFonts w:ascii="Times New Roman" w:hAnsi="Times New Roman" w:cs="Times New Roman"/>
          <w:sz w:val="24"/>
          <w:szCs w:val="24"/>
        </w:rPr>
        <w:t>.</w:t>
      </w:r>
    </w:p>
    <w:p w:rsidR="00B861B0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Зиминском городском </w:t>
      </w:r>
      <w:r w:rsidR="0076774D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 xml:space="preserve">детско-юношеский спорт культивируется преимущественно такими учреждениями как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Зиминского городского муниципального образования,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="00A6120E" w:rsidRPr="0049426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</w:t>
      </w:r>
      <w:r w:rsidR="00531FF4">
        <w:rPr>
          <w:rFonts w:ascii="Times New Roman" w:hAnsi="Times New Roman" w:cs="Times New Roman"/>
          <w:sz w:val="24"/>
          <w:szCs w:val="24"/>
        </w:rPr>
        <w:t>го образования «Спортивная</w:t>
      </w:r>
      <w:r w:rsidRPr="0049426E">
        <w:rPr>
          <w:rFonts w:ascii="Times New Roman" w:hAnsi="Times New Roman" w:cs="Times New Roman"/>
          <w:sz w:val="24"/>
          <w:szCs w:val="24"/>
        </w:rPr>
        <w:t xml:space="preserve"> школа имени Г.М. Сергеева»</w:t>
      </w:r>
      <w:r w:rsidR="00531FF4">
        <w:rPr>
          <w:rFonts w:ascii="Times New Roman" w:hAnsi="Times New Roman" w:cs="Times New Roman"/>
          <w:sz w:val="24"/>
          <w:szCs w:val="24"/>
        </w:rPr>
        <w:t xml:space="preserve"> (далее – «СШ им. Г.М. Сергеева»</w:t>
      </w:r>
      <w:r w:rsidR="00DC7966" w:rsidRPr="0049426E">
        <w:rPr>
          <w:rFonts w:ascii="Times New Roman" w:hAnsi="Times New Roman" w:cs="Times New Roman"/>
          <w:sz w:val="24"/>
          <w:szCs w:val="24"/>
        </w:rPr>
        <w:t>)</w:t>
      </w:r>
      <w:r w:rsidRPr="0049426E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количество занимающихся составило </w:t>
      </w:r>
      <w:r w:rsidR="00CF744E" w:rsidRPr="0049426E">
        <w:rPr>
          <w:rFonts w:ascii="Times New Roman" w:hAnsi="Times New Roman" w:cs="Times New Roman"/>
          <w:sz w:val="24"/>
          <w:szCs w:val="24"/>
        </w:rPr>
        <w:t>786</w:t>
      </w:r>
      <w:r w:rsidRPr="0049426E">
        <w:rPr>
          <w:rFonts w:ascii="Times New Roman" w:hAnsi="Times New Roman" w:cs="Times New Roman"/>
          <w:sz w:val="24"/>
          <w:szCs w:val="24"/>
        </w:rPr>
        <w:t xml:space="preserve"> человек. Доля занимающихся,имеющих спортивныеразряды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вдетско-юношеских спортивных школах,в общей численностизанимающихся вдетско-юношеских спортивных школах в Зиминском городском </w:t>
      </w:r>
      <w:r w:rsidR="00216093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>составила в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861B0" w:rsidRPr="0049426E">
        <w:rPr>
          <w:rFonts w:ascii="Times New Roman" w:hAnsi="Times New Roman" w:cs="Times New Roman"/>
          <w:sz w:val="24"/>
          <w:szCs w:val="24"/>
        </w:rPr>
        <w:t>43</w:t>
      </w:r>
      <w:r w:rsidR="00A23CD5" w:rsidRPr="0049426E">
        <w:rPr>
          <w:rFonts w:ascii="Times New Roman" w:hAnsi="Times New Roman" w:cs="Times New Roman"/>
          <w:sz w:val="24"/>
          <w:szCs w:val="24"/>
        </w:rPr>
        <w:t>%</w:t>
      </w:r>
      <w:r w:rsidR="00B861B0" w:rsidRPr="0049426E">
        <w:rPr>
          <w:rFonts w:ascii="Times New Roman" w:hAnsi="Times New Roman" w:cs="Times New Roman"/>
          <w:sz w:val="24"/>
          <w:szCs w:val="24"/>
        </w:rPr>
        <w:t xml:space="preserve">, </w:t>
      </w:r>
      <w:r w:rsidR="00A333B0" w:rsidRPr="0049426E">
        <w:rPr>
          <w:rFonts w:ascii="Times New Roman" w:hAnsi="Times New Roman" w:cs="Times New Roman"/>
          <w:sz w:val="24"/>
          <w:szCs w:val="24"/>
        </w:rPr>
        <w:t>в 2019 году данное значение ниже, т.к. 2 спортивных отделен</w:t>
      </w:r>
      <w:r w:rsidR="00531FF4">
        <w:rPr>
          <w:rFonts w:ascii="Times New Roman" w:hAnsi="Times New Roman" w:cs="Times New Roman"/>
          <w:sz w:val="24"/>
          <w:szCs w:val="24"/>
        </w:rPr>
        <w:t xml:space="preserve">ия (тяжелая атлетика, бокс)«СШ им. Г.М. Сергеева» </w:t>
      </w:r>
      <w:r w:rsidR="00A333B0" w:rsidRPr="0049426E">
        <w:rPr>
          <w:rFonts w:ascii="Times New Roman" w:hAnsi="Times New Roman" w:cs="Times New Roman"/>
          <w:sz w:val="24"/>
          <w:szCs w:val="24"/>
        </w:rPr>
        <w:t>переведены под управление МАУ «СШ» ЗГМО, а спортсмены, занимающиеся по программе спортивной подгот</w:t>
      </w:r>
      <w:r w:rsidR="00531FF4">
        <w:rPr>
          <w:rFonts w:ascii="Times New Roman" w:hAnsi="Times New Roman" w:cs="Times New Roman"/>
          <w:sz w:val="24"/>
          <w:szCs w:val="24"/>
        </w:rPr>
        <w:t xml:space="preserve">овки перестанут числиться в«СШ им. Г.М. Сергеева» </w:t>
      </w:r>
      <w:r w:rsidR="00A333B0" w:rsidRPr="0049426E">
        <w:rPr>
          <w:rFonts w:ascii="Times New Roman" w:hAnsi="Times New Roman" w:cs="Times New Roman"/>
          <w:sz w:val="24"/>
          <w:szCs w:val="24"/>
        </w:rPr>
        <w:t>.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>На базе МБ</w:t>
      </w:r>
      <w:r w:rsidR="00531FF4">
        <w:rPr>
          <w:rFonts w:ascii="Times New Roman" w:hAnsi="Times New Roman" w:cs="Times New Roman"/>
          <w:sz w:val="24"/>
          <w:szCs w:val="24"/>
        </w:rPr>
        <w:t>У ДО «СШ</w:t>
      </w:r>
      <w:r w:rsidRPr="0049426E">
        <w:rPr>
          <w:rFonts w:ascii="Times New Roman" w:hAnsi="Times New Roman" w:cs="Times New Roman"/>
          <w:sz w:val="24"/>
          <w:szCs w:val="24"/>
        </w:rPr>
        <w:t xml:space="preserve"> им. Г.М. Сергеева»культивируется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управление МАУ «Спортивная школа» ЗГМО. В отчетный период 201</w:t>
      </w:r>
      <w:r w:rsidR="00B33C4C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</w:t>
      </w:r>
      <w:r w:rsidR="00B33C4C" w:rsidRPr="0049426E">
        <w:rPr>
          <w:rFonts w:ascii="Times New Roman" w:hAnsi="Times New Roman" w:cs="Times New Roman"/>
          <w:sz w:val="24"/>
          <w:szCs w:val="24"/>
        </w:rPr>
        <w:t>а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спортсменам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присвоено </w:t>
      </w:r>
      <w:r w:rsidR="001B3C00" w:rsidRPr="0049426E">
        <w:rPr>
          <w:rFonts w:ascii="Times New Roman" w:hAnsi="Times New Roman" w:cs="Times New Roman"/>
          <w:sz w:val="24"/>
          <w:szCs w:val="24"/>
        </w:rPr>
        <w:t>341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перспективе развития детско-юношеского спорта в Зиминском городском </w:t>
      </w:r>
      <w:r w:rsidR="00DD5B59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490947" w:rsidRPr="0049426E">
        <w:rPr>
          <w:rFonts w:ascii="Times New Roman" w:hAnsi="Times New Roman" w:cs="Times New Roman"/>
          <w:sz w:val="24"/>
          <w:szCs w:val="24"/>
        </w:rPr>
        <w:t>сохранение и увеличение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до </w:t>
      </w:r>
      <w:r w:rsidR="00A333B0" w:rsidRPr="0049426E">
        <w:rPr>
          <w:rFonts w:ascii="Times New Roman" w:hAnsi="Times New Roman" w:cs="Times New Roman"/>
          <w:sz w:val="24"/>
          <w:szCs w:val="24"/>
        </w:rPr>
        <w:t>3</w:t>
      </w:r>
      <w:r w:rsidR="00E06F33">
        <w:rPr>
          <w:rFonts w:ascii="Times New Roman" w:hAnsi="Times New Roman" w:cs="Times New Roman"/>
          <w:sz w:val="24"/>
          <w:szCs w:val="24"/>
        </w:rPr>
        <w:t>7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% </w:t>
      </w:r>
      <w:r w:rsidR="00490947" w:rsidRPr="0049426E">
        <w:rPr>
          <w:rFonts w:ascii="Times New Roman" w:hAnsi="Times New Roman" w:cs="Times New Roman"/>
          <w:sz w:val="24"/>
          <w:szCs w:val="24"/>
        </w:rPr>
        <w:t xml:space="preserve">к </w:t>
      </w:r>
      <w:r w:rsidRPr="0049426E">
        <w:rPr>
          <w:rFonts w:ascii="Times New Roman" w:hAnsi="Times New Roman" w:cs="Times New Roman"/>
          <w:sz w:val="24"/>
          <w:szCs w:val="24"/>
        </w:rPr>
        <w:t>202</w:t>
      </w:r>
      <w:r w:rsidR="0091592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>году доли занимающихся, имеющих спортивные 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школах.</w:t>
      </w:r>
    </w:p>
    <w:p w:rsidR="009562DB" w:rsidRPr="001C42BB" w:rsidRDefault="009562DB" w:rsidP="009562DB">
      <w:pPr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Зиминского городского</w:t>
      </w:r>
      <w:r w:rsidR="00DD5B59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>, созданию благоприятной среды для организации тренировочного процесса и успешного выступления спортсменов г. Зимы на соревнованиях различного уровня.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Зиминском городском</w:t>
      </w:r>
      <w:r w:rsidR="00440D90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>, можно выделить следующие:</w:t>
      </w:r>
    </w:p>
    <w:p w:rsidR="00762754" w:rsidRPr="00657625" w:rsidRDefault="00762754" w:rsidP="005367EF">
      <w:pPr>
        <w:pStyle w:val="a3"/>
        <w:numPr>
          <w:ilvl w:val="0"/>
          <w:numId w:val="10"/>
        </w:numPr>
        <w:spacing w:line="276" w:lineRule="auto"/>
        <w:ind w:left="0" w:firstLine="426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5367EF">
      <w:pPr>
        <w:pStyle w:val="a3"/>
        <w:numPr>
          <w:ilvl w:val="0"/>
          <w:numId w:val="10"/>
        </w:numPr>
        <w:spacing w:line="276" w:lineRule="auto"/>
        <w:ind w:left="0" w:firstLine="426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5102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762754" w:rsidRPr="00657625" w:rsidRDefault="00762754" w:rsidP="00216093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2является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>на территории Зиминского городского</w:t>
      </w:r>
      <w:r w:rsidR="005367E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216093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>Обеспечение</w:t>
      </w:r>
      <w:r w:rsidR="005102DF">
        <w:rPr>
          <w:rFonts w:ascii="Times New Roman" w:hAnsi="Times New Roman" w:cs="Times New Roman"/>
          <w:sz w:val="24"/>
          <w:szCs w:val="24"/>
        </w:rPr>
        <w:t xml:space="preserve"> условий для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успешного выступления спортсменов Зиминского городского </w:t>
      </w:r>
      <w:r w:rsidR="005367EF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9562DB" w:rsidRPr="00657625">
        <w:rPr>
          <w:rFonts w:ascii="Times New Roman" w:hAnsi="Times New Roman" w:cs="Times New Roman"/>
          <w:sz w:val="24"/>
          <w:szCs w:val="24"/>
        </w:rPr>
        <w:t>на спортивных соревнованиях.</w:t>
      </w:r>
    </w:p>
    <w:p w:rsidR="00F27B6E" w:rsidRPr="00657625" w:rsidRDefault="00762754" w:rsidP="002160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Pr="00657625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515660">
        <w:rPr>
          <w:rFonts w:ascii="Times New Roman" w:hAnsi="Times New Roman" w:cs="Times New Roman"/>
          <w:i/>
          <w:sz w:val="24"/>
          <w:szCs w:val="24"/>
        </w:rPr>
        <w:t>7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220" w:type="dxa"/>
        <w:tblInd w:w="-34" w:type="dxa"/>
        <w:tblLayout w:type="fixed"/>
        <w:tblLook w:val="04A0"/>
      </w:tblPr>
      <w:tblGrid>
        <w:gridCol w:w="1985"/>
        <w:gridCol w:w="1559"/>
        <w:gridCol w:w="851"/>
        <w:gridCol w:w="709"/>
        <w:gridCol w:w="850"/>
        <w:gridCol w:w="851"/>
        <w:gridCol w:w="850"/>
        <w:gridCol w:w="851"/>
        <w:gridCol w:w="850"/>
        <w:gridCol w:w="864"/>
      </w:tblGrid>
      <w:tr w:rsidR="00E06F33" w:rsidRPr="00657625" w:rsidTr="00216093">
        <w:trPr>
          <w:trHeight w:val="935"/>
        </w:trPr>
        <w:tc>
          <w:tcPr>
            <w:tcW w:w="1985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51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15660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  <w:p w:rsidR="00AE24BF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E06F33" w:rsidRPr="00657625" w:rsidTr="00216093">
        <w:trPr>
          <w:trHeight w:val="739"/>
        </w:trPr>
        <w:tc>
          <w:tcPr>
            <w:tcW w:w="1985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(тыс. руб.),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15660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12675,1</w:t>
            </w:r>
          </w:p>
        </w:tc>
        <w:tc>
          <w:tcPr>
            <w:tcW w:w="851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254,0</w:t>
            </w:r>
          </w:p>
        </w:tc>
        <w:tc>
          <w:tcPr>
            <w:tcW w:w="709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733,9</w:t>
            </w:r>
          </w:p>
        </w:tc>
        <w:tc>
          <w:tcPr>
            <w:tcW w:w="850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1130,1</w:t>
            </w:r>
          </w:p>
        </w:tc>
        <w:tc>
          <w:tcPr>
            <w:tcW w:w="851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2034,7</w:t>
            </w:r>
          </w:p>
        </w:tc>
        <w:tc>
          <w:tcPr>
            <w:tcW w:w="850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2016,6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21609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</w:tr>
      <w:tr w:rsidR="006255FD" w:rsidRPr="00657625" w:rsidTr="00216093">
        <w:trPr>
          <w:trHeight w:val="531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sz w:val="20"/>
                <w:szCs w:val="20"/>
              </w:rPr>
              <w:t>12675,1</w:t>
            </w:r>
          </w:p>
        </w:tc>
        <w:tc>
          <w:tcPr>
            <w:tcW w:w="851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709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733,9</w:t>
            </w:r>
          </w:p>
        </w:tc>
        <w:tc>
          <w:tcPr>
            <w:tcW w:w="850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1130,1</w:t>
            </w:r>
          </w:p>
        </w:tc>
        <w:tc>
          <w:tcPr>
            <w:tcW w:w="851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2034,7</w:t>
            </w:r>
          </w:p>
        </w:tc>
        <w:tc>
          <w:tcPr>
            <w:tcW w:w="850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</w:tr>
      <w:tr w:rsidR="006255FD" w:rsidRPr="00657625" w:rsidTr="00216093">
        <w:trPr>
          <w:trHeight w:val="278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5FD" w:rsidRPr="00657625" w:rsidTr="00216093">
        <w:trPr>
          <w:trHeight w:val="410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1C42BB" w:rsidRDefault="00762754" w:rsidP="00D30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2558B9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714A73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8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63"/>
        <w:gridCol w:w="1700"/>
        <w:gridCol w:w="2127"/>
        <w:gridCol w:w="2091"/>
        <w:gridCol w:w="1898"/>
        <w:gridCol w:w="10"/>
        <w:gridCol w:w="1736"/>
      </w:tblGrid>
      <w:tr w:rsidR="00B543EF" w:rsidTr="00BF4642">
        <w:trPr>
          <w:trHeight w:val="570"/>
        </w:trPr>
        <w:tc>
          <w:tcPr>
            <w:tcW w:w="1005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735" w:type="dxa"/>
            <w:gridSpan w:val="4"/>
          </w:tcPr>
          <w:p w:rsidR="00B543EF" w:rsidRDefault="00B543EF" w:rsidP="00B543EF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B543EF" w:rsidTr="00BF4642">
        <w:trPr>
          <w:trHeight w:val="570"/>
        </w:trPr>
        <w:tc>
          <w:tcPr>
            <w:tcW w:w="1005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08" w:type="dxa"/>
            <w:gridSpan w:val="2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«Спортивная школа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2B35CE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Спортивная школа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1C42BB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762754" w:rsidRPr="009F7B15" w:rsidRDefault="00762754" w:rsidP="009F7B1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благоприятные условия для развития детско-юношеского спорта на территории Зиминского городского</w:t>
      </w:r>
      <w:r w:rsidR="005D18AB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9F7B15">
        <w:rPr>
          <w:rFonts w:ascii="Times New Roman" w:hAnsi="Times New Roman" w:cs="Times New Roman"/>
          <w:sz w:val="24"/>
          <w:szCs w:val="24"/>
        </w:rPr>
        <w:t xml:space="preserve">. </w:t>
      </w:r>
      <w:r w:rsidR="005C35DC" w:rsidRPr="009F7B1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9F7B1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1) Увеличение доли занимающихся, имеющих спортивные разряды и звания в детско-юношеских спортивных школах, в общей численности занимающихся в детско-юношеских спортивных школах до </w:t>
      </w:r>
      <w:r w:rsidR="006E49BE" w:rsidRPr="009F7B15">
        <w:rPr>
          <w:rFonts w:ascii="Times New Roman" w:hAnsi="Times New Roman" w:cs="Times New Roman"/>
          <w:sz w:val="24"/>
          <w:szCs w:val="24"/>
        </w:rPr>
        <w:t>3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>% в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9F7B15">
        <w:rPr>
          <w:rFonts w:ascii="Times New Roman" w:hAnsi="Times New Roman" w:cs="Times New Roman"/>
          <w:sz w:val="24"/>
          <w:szCs w:val="24"/>
        </w:rPr>
        <w:t>4</w:t>
      </w:r>
      <w:r w:rsidRPr="009F7B1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9F7B15">
        <w:rPr>
          <w:rFonts w:ascii="Times New Roman" w:hAnsi="Times New Roman" w:cs="Times New Roman"/>
          <w:sz w:val="24"/>
          <w:szCs w:val="24"/>
        </w:rPr>
        <w:t>,</w:t>
      </w:r>
      <w:r w:rsidRPr="009F7B1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</w:t>
      </w:r>
      <w:r w:rsidR="00531FF4">
        <w:rPr>
          <w:rFonts w:ascii="Times New Roman" w:hAnsi="Times New Roman" w:cs="Times New Roman"/>
          <w:sz w:val="24"/>
          <w:szCs w:val="24"/>
        </w:rPr>
        <w:t xml:space="preserve">Спортивная </w:t>
      </w:r>
      <w:r w:rsidRPr="009F7B15">
        <w:rPr>
          <w:rFonts w:ascii="Times New Roman" w:hAnsi="Times New Roman" w:cs="Times New Roman"/>
          <w:sz w:val="24"/>
          <w:szCs w:val="24"/>
        </w:rPr>
        <w:t>школа имени Г.М. Сергеева»</w:t>
      </w:r>
      <w:r w:rsidR="003B71B0" w:rsidRPr="009F7B15">
        <w:rPr>
          <w:rFonts w:ascii="Times New Roman" w:hAnsi="Times New Roman"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208" w:type="dxa"/>
        <w:tblInd w:w="-1026" w:type="dxa"/>
        <w:tblLayout w:type="fixed"/>
        <w:tblLook w:val="04A0"/>
      </w:tblPr>
      <w:tblGrid>
        <w:gridCol w:w="567"/>
        <w:gridCol w:w="1843"/>
        <w:gridCol w:w="709"/>
        <w:gridCol w:w="1134"/>
        <w:gridCol w:w="1134"/>
        <w:gridCol w:w="709"/>
        <w:gridCol w:w="708"/>
        <w:gridCol w:w="709"/>
        <w:gridCol w:w="709"/>
        <w:gridCol w:w="850"/>
        <w:gridCol w:w="709"/>
        <w:gridCol w:w="709"/>
        <w:gridCol w:w="718"/>
      </w:tblGrid>
      <w:tr w:rsidR="00A039E1" w:rsidRPr="00657625" w:rsidTr="00107E48">
        <w:trPr>
          <w:trHeight w:val="447"/>
        </w:trPr>
        <w:tc>
          <w:tcPr>
            <w:tcW w:w="11208" w:type="dxa"/>
            <w:gridSpan w:val="13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</w:t>
            </w:r>
            <w:r w:rsidR="001336B9">
              <w:rPr>
                <w:rFonts w:ascii="Times New Roman" w:hAnsi="Times New Roman" w:cs="Times New Roman"/>
                <w:sz w:val="20"/>
                <w:szCs w:val="20"/>
              </w:rPr>
              <w:t xml:space="preserve">округа Иркутской области </w:t>
            </w:r>
          </w:p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A039E1" w:rsidRPr="00657625" w:rsidTr="00107E48">
        <w:trPr>
          <w:trHeight w:val="223"/>
        </w:trPr>
        <w:tc>
          <w:tcPr>
            <w:tcW w:w="567" w:type="dxa"/>
            <w:vMerge w:val="restart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vAlign w:val="center"/>
          </w:tcPr>
          <w:p w:rsidR="00A039E1" w:rsidRPr="00657625" w:rsidRDefault="00A039E1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результативности</w:t>
            </w:r>
          </w:p>
        </w:tc>
        <w:tc>
          <w:tcPr>
            <w:tcW w:w="709" w:type="dxa"/>
            <w:vMerge w:val="restart"/>
          </w:tcPr>
          <w:p w:rsidR="00A039E1" w:rsidRPr="00657625" w:rsidRDefault="00A039E1" w:rsidP="0030763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07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изм</w:t>
            </w:r>
            <w:r w:rsidR="00307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9" w:type="dxa"/>
            <w:gridSpan w:val="10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A039E1" w:rsidRPr="00657625" w:rsidTr="00107E48">
        <w:trPr>
          <w:trHeight w:val="143"/>
        </w:trPr>
        <w:tc>
          <w:tcPr>
            <w:tcW w:w="567" w:type="dxa"/>
            <w:vMerge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39E1" w:rsidRPr="00657625" w:rsidRDefault="00A039E1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821" w:type="dxa"/>
            <w:gridSpan w:val="8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85968" w:rsidRPr="00657625" w:rsidTr="00107E48">
        <w:trPr>
          <w:trHeight w:val="143"/>
        </w:trPr>
        <w:tc>
          <w:tcPr>
            <w:tcW w:w="567" w:type="dxa"/>
            <w:vMerge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39E1" w:rsidRPr="00657625" w:rsidRDefault="00A039E1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F85968" w:rsidRPr="00657625" w:rsidTr="00107E48">
        <w:trPr>
          <w:trHeight w:val="2737"/>
        </w:trPr>
        <w:tc>
          <w:tcPr>
            <w:tcW w:w="567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P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107E48">
            <w:pPr>
              <w:contextualSpacing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107E4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8. МЕХАНИЗМ РЕАЛИЗАЦИИ ПОДПРОГРАММЫ И КОНТРОЛЬ ЗА ХОДОМ ЕЁ РЕАЛИЗАЦИИ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Зиминского городского </w:t>
      </w:r>
      <w:r w:rsidR="005D18AB">
        <w:rPr>
          <w:rFonts w:ascii="Times New Roman" w:hAnsi="Times New Roman" w:cs="Times New Roman"/>
          <w:sz w:val="24"/>
          <w:szCs w:val="24"/>
        </w:rPr>
        <w:t xml:space="preserve">округа Иркутской области. </w:t>
      </w:r>
      <w:r w:rsidRPr="00657625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D45144" w:rsidRPr="00657625" w:rsidRDefault="00D4514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Отдел по физической куль</w:t>
      </w:r>
      <w:r w:rsidR="005D18AB">
        <w:rPr>
          <w:rFonts w:cs="Times New Roman"/>
          <w:szCs w:val="24"/>
        </w:rPr>
        <w:t>туре и спорту администрации Зиминского городского округа Иркутской области</w:t>
      </w:r>
      <w:r w:rsidRPr="00657625">
        <w:rPr>
          <w:rFonts w:cs="Times New Roman"/>
          <w:szCs w:val="24"/>
        </w:rPr>
        <w:t>;</w:t>
      </w:r>
    </w:p>
    <w:p w:rsidR="00762754" w:rsidRPr="00657625" w:rsidRDefault="0076275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Комитет по образованию администрации Зиминского городского</w:t>
      </w:r>
      <w:r w:rsidR="005D18AB">
        <w:rPr>
          <w:rFonts w:cs="Times New Roman"/>
          <w:szCs w:val="24"/>
        </w:rPr>
        <w:t xml:space="preserve"> округа Иркутской области</w:t>
      </w:r>
      <w:r w:rsidRPr="00657625">
        <w:rPr>
          <w:rFonts w:cs="Times New Roman"/>
          <w:szCs w:val="24"/>
        </w:rPr>
        <w:t>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</w:t>
      </w:r>
      <w:r w:rsidR="00D278A1">
        <w:rPr>
          <w:rFonts w:ascii="Times New Roman" w:hAnsi="Times New Roman" w:cs="Times New Roman"/>
          <w:sz w:val="24"/>
          <w:szCs w:val="24"/>
        </w:rPr>
        <w:t>нной политике администрации Зиминского городского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</w:t>
      </w:r>
      <w:r w:rsidR="005D18AB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="000F37B8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округа Иркутской области </w:t>
      </w:r>
      <w:r w:rsidRPr="00657625">
        <w:rPr>
          <w:rFonts w:ascii="Times New Roman" w:hAnsi="Times New Roman" w:cs="Times New Roman"/>
          <w:sz w:val="24"/>
          <w:szCs w:val="24"/>
        </w:rPr>
        <w:t xml:space="preserve"> совместно с отделом по </w:t>
      </w: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</w:t>
      </w:r>
      <w:r w:rsidR="000F37B8">
        <w:rPr>
          <w:rFonts w:ascii="Times New Roman" w:hAnsi="Times New Roman" w:cs="Times New Roman"/>
          <w:sz w:val="24"/>
          <w:szCs w:val="24"/>
        </w:rPr>
        <w:t xml:space="preserve">округа Иркутской области  с </w:t>
      </w:r>
      <w:r w:rsidRPr="00657625">
        <w:rPr>
          <w:rFonts w:ascii="Times New Roman" w:hAnsi="Times New Roman" w:cs="Times New Roman"/>
          <w:sz w:val="24"/>
          <w:szCs w:val="24"/>
        </w:rPr>
        <w:t>учетом потребностей населения и учреждений города в развитии физической культуры и детско-юношеского спорта.</w:t>
      </w:r>
    </w:p>
    <w:p w:rsidR="00762754" w:rsidRPr="001C42BB" w:rsidRDefault="00762754" w:rsidP="009F7B1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4514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>в приложении 2 к настоящей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 w:rsidP="009F7B15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1C42BB" w:rsidRDefault="00257F76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11.3. </w:t>
      </w:r>
      <w:r w:rsidR="00180D8F" w:rsidRPr="001C42BB">
        <w:rPr>
          <w:rFonts w:ascii="Times New Roman" w:hAnsi="Times New Roman" w:cs="Times New Roman"/>
          <w:b/>
          <w:sz w:val="24"/>
          <w:szCs w:val="24"/>
        </w:rPr>
        <w:t>ПОДПРОГРАММА 3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 xml:space="preserve">«РАЗВИТИЕ СПОРТИВНОЙ ИНФРАСТРУКТУРЫ И МАТЕРИАЛЬНО-ТЕХНИЧЕСКОЙ БАЗЫ ДЛЯ ЗАНЯТИЙ ФИЗИЧЕСКОЙ КУЛЬТУРОЙ И СПОРТОМ» </w:t>
      </w:r>
      <w:r w:rsidRPr="009F7B15">
        <w:rPr>
          <w:rFonts w:ascii="Times New Roman" w:hAnsi="Times New Roman" w:cs="Times New Roman"/>
          <w:b/>
          <w:sz w:val="24"/>
          <w:szCs w:val="24"/>
        </w:rPr>
        <w:t>НА 2020-202</w:t>
      </w:r>
      <w:r w:rsidR="00B17F35" w:rsidRPr="009F7B15">
        <w:rPr>
          <w:rFonts w:ascii="Times New Roman" w:hAnsi="Times New Roman" w:cs="Times New Roman"/>
          <w:b/>
          <w:sz w:val="24"/>
          <w:szCs w:val="24"/>
        </w:rPr>
        <w:t>7</w:t>
      </w:r>
      <w:r w:rsidRPr="009F7B1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ГОРОДСКОГО </w:t>
      </w:r>
    </w:p>
    <w:p w:rsidR="00180D8F" w:rsidRPr="001C42BB" w:rsidRDefault="000E393F" w:rsidP="001C4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ОКРУГА ИРКУТСКОЙ ОБЛАСТИ </w:t>
      </w:r>
      <w:r w:rsidR="00180D8F"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="00180D8F"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E393F" w:rsidRDefault="000E393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8F" w:rsidRPr="001C42BB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0E393F" w:rsidP="000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в лице о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школа» ЗГМО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A6E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2.Зиминское городское муниципальное бюджетное учреждение «Дирекция </w:t>
            </w:r>
            <w:r w:rsidR="003458D4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8D4" w:rsidRPr="00657625" w:rsidRDefault="003458D4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учреждение культуры «Историко – краеведческий музей».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Зиминского городского 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0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1.Единовременная пропускная способность объектов спорта на территории Зиминского городского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F65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554967,1 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65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156989,2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2240,7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854,20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682,40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5600,40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3DAC" w:rsidRDefault="00F656F9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8725,90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955A1" w:rsidRDefault="00C955A1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132500,00</w:t>
            </w:r>
            <w:r w:rsidR="003458D4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B17F35" w:rsidRPr="00657625" w:rsidRDefault="00B17F35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5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241028,30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F52ADD">
              <w:rPr>
                <w:rFonts w:ascii="Times New Roman" w:eastAsia="Times New Roman" w:hAnsi="Times New Roman" w:cs="Times New Roman"/>
                <w:sz w:val="24"/>
                <w:szCs w:val="24"/>
              </w:rPr>
              <w:t>55 823,5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F52ADD">
              <w:rPr>
                <w:rFonts w:ascii="Times New Roman" w:eastAsia="Times New Roman" w:hAnsi="Times New Roman" w:cs="Times New Roman"/>
                <w:sz w:val="24"/>
                <w:szCs w:val="24"/>
              </w:rPr>
              <w:t>7 319,9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64215" w:rsidRPr="00657625" w:rsidRDefault="00F52ADD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63866,70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="00D30D96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C57" w:rsidRDefault="00F52ADD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114018,20</w:t>
            </w:r>
            <w:r w:rsidR="00F46C57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 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30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156949,60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130 101,50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230269">
              <w:rPr>
                <w:rFonts w:ascii="Times New Roman" w:eastAsia="Times New Roman" w:hAnsi="Times New Roman" w:cs="Times New Roman"/>
                <w:sz w:val="24"/>
                <w:szCs w:val="24"/>
              </w:rPr>
              <w:t>26848,1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3458D4" w:rsidRPr="00D47CD2" w:rsidRDefault="003458D4" w:rsidP="00345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D2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17F35" w:rsidRPr="003458D4" w:rsidRDefault="00B17F35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B672D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единовременной пропускной способности объектов спорта на территории Зиминского городского </w:t>
            </w:r>
            <w:r w:rsidR="00B672D8"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B67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7B6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</w:t>
            </w:r>
            <w:r w:rsidR="00B672D8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="00B6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2. ХАРАКТЕРИСТИКА ТЕКУЩЕГО СОСТОЯНИЯ СФЕРЫ РЕАЛИЗАЦИИ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8138D3" w:rsidRPr="003C5001" w:rsidRDefault="008138D3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>) разработана в рамках муниципальной программы Зиминского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>увеличению единовременной пропускной способности объектов спорта на территории Зиминского городского</w:t>
      </w:r>
      <w:r w:rsidR="00B672D8">
        <w:rPr>
          <w:rFonts w:ascii="Times New Roman" w:hAnsi="Times New Roman" w:cs="Times New Roman"/>
          <w:sz w:val="24"/>
          <w:szCs w:val="24"/>
        </w:rPr>
        <w:t xml:space="preserve"> круга Иркутской области</w:t>
      </w:r>
      <w:r w:rsidR="00E608D8" w:rsidRPr="003C5001">
        <w:rPr>
          <w:rFonts w:ascii="Times New Roman" w:hAnsi="Times New Roman" w:cs="Times New Roman"/>
          <w:sz w:val="24"/>
          <w:szCs w:val="24"/>
        </w:rPr>
        <w:t>, что в свою очередь повысит уровень обеспеченности населения спортивными сооружениями.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</w:t>
      </w:r>
      <w:r w:rsidR="00B672D8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«Сведения о физической культуре и спорту») в Зиминском городском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94A91" w:rsidRPr="003C5001" w:rsidRDefault="00D94A91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располагаются 2 спортивных зала.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Зиминского городского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</w:t>
      </w:r>
      <w:r w:rsidR="00F85968">
        <w:rPr>
          <w:rFonts w:ascii="Times New Roman" w:hAnsi="Times New Roman" w:cs="Times New Roman"/>
          <w:sz w:val="24"/>
          <w:szCs w:val="24"/>
        </w:rPr>
        <w:t>и сооружениями до 37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80D8F" w:rsidRPr="001C42BB" w:rsidRDefault="00180D8F" w:rsidP="00AC1B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>кой культуры и спорта на территории Зиминского городского</w:t>
      </w:r>
      <w:r w:rsidR="00B672D8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="00D00081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80D8F" w:rsidRPr="003C5001" w:rsidRDefault="00180D8F" w:rsidP="00AC1B8F">
      <w:pPr>
        <w:tabs>
          <w:tab w:val="left" w:pos="83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обеспечение государственной поддержки в отношении задач, отнесенных к полномочиям Зиминского городского </w:t>
      </w:r>
      <w:r w:rsidR="0005437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в области физической культуры и спорта.</w:t>
      </w:r>
    </w:p>
    <w:p w:rsidR="00180D8F" w:rsidRPr="003C5001" w:rsidRDefault="00180D8F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развитие массового спорта с учетом необходимости повышения обеспеченности физкультурно-спортивными объектами Зиминского городского </w:t>
      </w:r>
      <w:r w:rsidR="00054371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180D8F" w:rsidRPr="003C5001" w:rsidRDefault="00D00081" w:rsidP="00E76D0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4. ЦЕЛЬ И ЗАДАЧИ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развитие инфраструктуры физической культуры и спорта на территории Зиминского городского </w:t>
      </w:r>
      <w:r w:rsidR="00E76D05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802EDC" w:rsidRPr="003C5001">
        <w:rPr>
          <w:rFonts w:ascii="Times New Roman" w:hAnsi="Times New Roman" w:cs="Times New Roman"/>
          <w:sz w:val="24"/>
          <w:szCs w:val="24"/>
        </w:rPr>
        <w:t>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lastRenderedPageBreak/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t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спорта.</w:t>
      </w:r>
      <w:r w:rsidRPr="003C5001">
        <w:rPr>
          <w:rFonts w:eastAsia="Times New Roman" w:cs="Times New Roman"/>
          <w:szCs w:val="24"/>
        </w:rPr>
        <w:t>В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Зиминского городского </w:t>
      </w:r>
      <w:r w:rsidR="00CB4C60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 xml:space="preserve">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РАЗДЕЛ5. СРОКИ РЕАЛИЗАЦИИ И РЕСУРСНОЕ ОБЕСПЕЧЕНИЕ ПОДПРОГРАММЫ</w:t>
      </w:r>
    </w:p>
    <w:p w:rsidR="00314676" w:rsidRPr="003C5001" w:rsidRDefault="00180D8F" w:rsidP="00AC1B8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584165">
        <w:rPr>
          <w:rFonts w:ascii="Times New Roman" w:hAnsi="Times New Roman" w:cs="Times New Roman"/>
          <w:i/>
          <w:sz w:val="24"/>
          <w:szCs w:val="24"/>
        </w:rPr>
        <w:t>7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908" w:type="dxa"/>
        <w:tblInd w:w="-601" w:type="dxa"/>
        <w:tblLayout w:type="fixed"/>
        <w:tblLook w:val="04A0"/>
      </w:tblPr>
      <w:tblGrid>
        <w:gridCol w:w="1560"/>
        <w:gridCol w:w="1559"/>
        <w:gridCol w:w="973"/>
        <w:gridCol w:w="974"/>
        <w:gridCol w:w="973"/>
        <w:gridCol w:w="974"/>
        <w:gridCol w:w="974"/>
        <w:gridCol w:w="973"/>
        <w:gridCol w:w="974"/>
        <w:gridCol w:w="974"/>
      </w:tblGrid>
      <w:tr w:rsidR="00584165" w:rsidRPr="003C5001" w:rsidTr="0023342E">
        <w:trPr>
          <w:trHeight w:val="839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7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7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8" w:space="0" w:color="000000"/>
            </w:tcBorders>
          </w:tcPr>
          <w:p w:rsidR="00584165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584165" w:rsidRPr="003C5001" w:rsidTr="0023342E">
        <w:trPr>
          <w:trHeight w:val="663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554967,1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2240,7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2385,6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60677,7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300B72" w:rsidP="00765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138103,8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300B72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96315,2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122744,1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300B72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132500,0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841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477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156989,2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2385,6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4854,2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5600,4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8725,9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300B72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742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241028,3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55823,5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7319,9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8A7A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63866,7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114018,2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368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156949,6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130101,5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26848,1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368"/>
        </w:trPr>
        <w:tc>
          <w:tcPr>
            <w:tcW w:w="1560" w:type="dxa"/>
            <w:vAlign w:val="center"/>
          </w:tcPr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300B72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Default="00584165" w:rsidP="00FD64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</w:t>
      </w: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Зиминского городского </w:t>
      </w:r>
      <w:r w:rsidR="001342E3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по софинансированию строительства объектов спорта за счет средств местного бюджета.</w:t>
      </w:r>
    </w:p>
    <w:p w:rsidR="00180D8F" w:rsidRPr="003C5001" w:rsidRDefault="00180D8F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1C42BB" w:rsidRDefault="00180D8F" w:rsidP="0018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645551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W w:w="14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"/>
        <w:gridCol w:w="2800"/>
        <w:gridCol w:w="1505"/>
        <w:gridCol w:w="6"/>
        <w:gridCol w:w="2205"/>
        <w:gridCol w:w="1702"/>
        <w:gridCol w:w="11"/>
        <w:gridCol w:w="1664"/>
        <w:gridCol w:w="13"/>
        <w:gridCol w:w="1723"/>
        <w:gridCol w:w="1877"/>
      </w:tblGrid>
      <w:tr w:rsidR="002A4FAC" w:rsidTr="00BF4642">
        <w:trPr>
          <w:trHeight w:val="525"/>
        </w:trPr>
        <w:tc>
          <w:tcPr>
            <w:tcW w:w="96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0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0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1" w:type="dxa"/>
            <w:gridSpan w:val="2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6990" w:type="dxa"/>
            <w:gridSpan w:val="6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FD64BB" w:rsidTr="00BF4642">
        <w:trPr>
          <w:trHeight w:val="525"/>
        </w:trPr>
        <w:tc>
          <w:tcPr>
            <w:tcW w:w="96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64" w:type="dxa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77" w:type="dxa"/>
          </w:tcPr>
          <w:p w:rsidR="00FD64BB" w:rsidRDefault="00FD64BB" w:rsidP="00F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64BB">
              <w:rPr>
                <w:rFonts w:ascii="Times New Roman" w:hAnsi="Times New Roman" w:cs="Times New Roman"/>
                <w:b/>
                <w:sz w:val="24"/>
                <w:szCs w:val="24"/>
              </w:rPr>
              <w:t>небюджетные источники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841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Строительство и капитальный ремонт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спортивных сооружений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C519E0" w:rsidRDefault="006350CF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86743D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481071,1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146645,7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177475,8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135993,8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94165,2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5385,4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61931,7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377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118412,1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8288,9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110123,2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7A14" w:rsidRPr="00D57C45" w:rsidTr="00377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C519E0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14" w:rsidRPr="00C519E0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77A14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по адресу: г. Зима, ул. Григорьева, 16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ул.Куйбышева до ул.Садовая)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21F98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621F98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спортивной площадки  по ул. Щорса ,3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851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спортивной площадки  по ул. 5 Армии ,63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16B7" w:rsidRPr="003C5001" w:rsidRDefault="00C33D8B" w:rsidP="00FB6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47CD2">
          <w:pgSz w:w="15840" w:h="1224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80D8F" w:rsidRPr="001C42BB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7. ЦЕЛЕВЫЕ ПОКАЗАТЕЛИ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23C8D">
        <w:rPr>
          <w:rFonts w:ascii="Times New Roman" w:hAnsi="Times New Roman" w:cs="Times New Roman"/>
          <w:sz w:val="24"/>
          <w:szCs w:val="24"/>
        </w:rPr>
        <w:t>7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10817" w:type="dxa"/>
        <w:tblInd w:w="-885" w:type="dxa"/>
        <w:tblLayout w:type="fixed"/>
        <w:tblLook w:val="04A0"/>
      </w:tblPr>
      <w:tblGrid>
        <w:gridCol w:w="516"/>
        <w:gridCol w:w="1732"/>
        <w:gridCol w:w="588"/>
        <w:gridCol w:w="1178"/>
        <w:gridCol w:w="1090"/>
        <w:gridCol w:w="753"/>
        <w:gridCol w:w="709"/>
        <w:gridCol w:w="708"/>
        <w:gridCol w:w="709"/>
        <w:gridCol w:w="709"/>
        <w:gridCol w:w="709"/>
        <w:gridCol w:w="708"/>
        <w:gridCol w:w="708"/>
      </w:tblGrid>
      <w:tr w:rsidR="00723C8D" w:rsidRPr="003C5001" w:rsidTr="0023342E">
        <w:tc>
          <w:tcPr>
            <w:tcW w:w="10817" w:type="dxa"/>
            <w:gridSpan w:val="13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23C8D" w:rsidRPr="003C5001" w:rsidTr="0023342E">
        <w:tc>
          <w:tcPr>
            <w:tcW w:w="516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32" w:type="dxa"/>
            <w:vMerge w:val="restart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588" w:type="dxa"/>
            <w:vMerge w:val="restart"/>
            <w:vAlign w:val="center"/>
          </w:tcPr>
          <w:p w:rsidR="00723C8D" w:rsidRPr="003C5001" w:rsidRDefault="00723C8D" w:rsidP="0023342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33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изм</w:t>
            </w:r>
            <w:r w:rsidR="00233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81" w:type="dxa"/>
            <w:gridSpan w:val="10"/>
          </w:tcPr>
          <w:p w:rsidR="00723C8D" w:rsidRPr="003C5001" w:rsidRDefault="00723C8D" w:rsidP="0023342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723C8D" w:rsidRPr="003C5001" w:rsidTr="0023342E">
        <w:tc>
          <w:tcPr>
            <w:tcW w:w="516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713" w:type="dxa"/>
            <w:gridSpan w:val="8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23C8D" w:rsidRPr="003C5001" w:rsidTr="0023342E">
        <w:tc>
          <w:tcPr>
            <w:tcW w:w="516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3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3C8D" w:rsidRPr="003C5001" w:rsidTr="0023342E">
        <w:tc>
          <w:tcPr>
            <w:tcW w:w="516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723C8D" w:rsidRPr="003C5001" w:rsidRDefault="00723C8D" w:rsidP="005D7029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пропускная способность объектов спорта на территории Зиминского городского </w:t>
            </w:r>
            <w:r w:rsidR="005D7029">
              <w:rPr>
                <w:rFonts w:ascii="Times New Roman" w:hAnsi="Times New Roman" w:cs="Times New Roman"/>
                <w:sz w:val="20"/>
                <w:szCs w:val="20"/>
              </w:rPr>
              <w:t>округа Иркутской области</w:t>
            </w:r>
          </w:p>
        </w:tc>
        <w:tc>
          <w:tcPr>
            <w:tcW w:w="58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753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AC1B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И КОНТРОЛЬ ЗА ХОДОМ ЕЁ РЕАЛИЗАЦИИ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</w:t>
      </w:r>
      <w:r w:rsidR="00A42E9A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Pr="003C5001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="00A42E9A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и в Управление по финансам и налогам администрации Зиминского городского</w:t>
      </w:r>
      <w:r w:rsidR="00A42E9A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>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</w:t>
      </w:r>
      <w:r w:rsidR="00901E2C">
        <w:rPr>
          <w:rFonts w:ascii="Times New Roman" w:hAnsi="Times New Roman" w:cs="Times New Roman"/>
          <w:sz w:val="24"/>
          <w:szCs w:val="24"/>
        </w:rPr>
        <w:t>нной политике администрации Зиминского городского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 xml:space="preserve">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</w:t>
      </w:r>
      <w:r w:rsidR="00901E2C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</w:t>
      </w:r>
      <w:r w:rsidR="00EF16AC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AC1B8F" w:rsidRPr="003C5001" w:rsidRDefault="00AC1B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B78" w:rsidRDefault="003B3B78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E77C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180D8F" w:rsidRDefault="00180D8F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094D97" w:rsidRDefault="00094D97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A73">
        <w:rPr>
          <w:rFonts w:ascii="Times New Roman" w:hAnsi="Times New Roman" w:cs="Times New Roman"/>
          <w:sz w:val="24"/>
          <w:szCs w:val="24"/>
        </w:rPr>
        <w:t>бокса находится в помещении жилого дома и его площади не позволяют проводить массовые показательные соревнования (только тренировочный процесс).</w:t>
      </w:r>
    </w:p>
    <w:sectPr w:rsidR="00094D97" w:rsidSect="0032736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1A" w:rsidRDefault="0048041A" w:rsidP="00703812">
      <w:pPr>
        <w:spacing w:after="0" w:line="240" w:lineRule="auto"/>
      </w:pPr>
      <w:r>
        <w:separator/>
      </w:r>
    </w:p>
  </w:endnote>
  <w:endnote w:type="continuationSeparator" w:id="1">
    <w:p w:rsidR="0048041A" w:rsidRDefault="0048041A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8C1A08" w:rsidRDefault="00C17DE4">
        <w:pPr>
          <w:pStyle w:val="ab"/>
          <w:jc w:val="right"/>
        </w:pPr>
        <w:r>
          <w:rPr>
            <w:noProof/>
          </w:rPr>
          <w:fldChar w:fldCharType="begin"/>
        </w:r>
        <w:r w:rsidR="008C1A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02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1A08" w:rsidRDefault="008C1A0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1A08" w:rsidRPr="00890A85" w:rsidRDefault="00C17DE4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1A08"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2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1A08" w:rsidRDefault="008C1A0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8C1A08" w:rsidRDefault="00C17DE4">
        <w:pPr>
          <w:pStyle w:val="ab"/>
          <w:jc w:val="right"/>
        </w:pPr>
        <w:r>
          <w:rPr>
            <w:noProof/>
          </w:rPr>
          <w:fldChar w:fldCharType="begin"/>
        </w:r>
        <w:r w:rsidR="008C1A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029B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8C1A08" w:rsidRDefault="008C1A08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8C1A08" w:rsidRDefault="00C17DE4">
        <w:pPr>
          <w:pStyle w:val="ab"/>
          <w:jc w:val="right"/>
        </w:pPr>
        <w:r>
          <w:rPr>
            <w:noProof/>
          </w:rPr>
          <w:fldChar w:fldCharType="begin"/>
        </w:r>
        <w:r w:rsidR="008C1A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029B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8C1A08" w:rsidRDefault="008C1A08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8C1A08" w:rsidRDefault="00C17DE4">
        <w:pPr>
          <w:pStyle w:val="ab"/>
          <w:jc w:val="right"/>
        </w:pPr>
        <w:r>
          <w:rPr>
            <w:noProof/>
          </w:rPr>
          <w:fldChar w:fldCharType="begin"/>
        </w:r>
        <w:r w:rsidR="008C1A0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029B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8C1A08" w:rsidRDefault="008C1A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1A" w:rsidRDefault="0048041A" w:rsidP="00703812">
      <w:pPr>
        <w:spacing w:after="0" w:line="240" w:lineRule="auto"/>
      </w:pPr>
      <w:r>
        <w:separator/>
      </w:r>
    </w:p>
  </w:footnote>
  <w:footnote w:type="continuationSeparator" w:id="1">
    <w:p w:rsidR="0048041A" w:rsidRDefault="0048041A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5B2"/>
    <w:rsid w:val="0000345A"/>
    <w:rsid w:val="0000487D"/>
    <w:rsid w:val="00004B8C"/>
    <w:rsid w:val="000063FD"/>
    <w:rsid w:val="0000661E"/>
    <w:rsid w:val="00006717"/>
    <w:rsid w:val="0001121F"/>
    <w:rsid w:val="0001453C"/>
    <w:rsid w:val="00016608"/>
    <w:rsid w:val="00025994"/>
    <w:rsid w:val="000262AF"/>
    <w:rsid w:val="00027450"/>
    <w:rsid w:val="00032CB5"/>
    <w:rsid w:val="00034BB8"/>
    <w:rsid w:val="0003632F"/>
    <w:rsid w:val="00041C73"/>
    <w:rsid w:val="00041FD3"/>
    <w:rsid w:val="00042BE9"/>
    <w:rsid w:val="00045B76"/>
    <w:rsid w:val="000468EA"/>
    <w:rsid w:val="0004739D"/>
    <w:rsid w:val="0005102F"/>
    <w:rsid w:val="0005395E"/>
    <w:rsid w:val="00054371"/>
    <w:rsid w:val="000549AF"/>
    <w:rsid w:val="00056F75"/>
    <w:rsid w:val="00062627"/>
    <w:rsid w:val="00063F6B"/>
    <w:rsid w:val="00070496"/>
    <w:rsid w:val="00071FED"/>
    <w:rsid w:val="00075978"/>
    <w:rsid w:val="00075FED"/>
    <w:rsid w:val="000771DD"/>
    <w:rsid w:val="00077359"/>
    <w:rsid w:val="000774C3"/>
    <w:rsid w:val="0007791C"/>
    <w:rsid w:val="00077B68"/>
    <w:rsid w:val="00080760"/>
    <w:rsid w:val="00081E84"/>
    <w:rsid w:val="00082FDA"/>
    <w:rsid w:val="0008325E"/>
    <w:rsid w:val="00084621"/>
    <w:rsid w:val="00092C5C"/>
    <w:rsid w:val="00093273"/>
    <w:rsid w:val="00094D97"/>
    <w:rsid w:val="00096EAA"/>
    <w:rsid w:val="00096F3A"/>
    <w:rsid w:val="000A046B"/>
    <w:rsid w:val="000A123F"/>
    <w:rsid w:val="000A1628"/>
    <w:rsid w:val="000A33DA"/>
    <w:rsid w:val="000A5BCA"/>
    <w:rsid w:val="000A6B0F"/>
    <w:rsid w:val="000B00A8"/>
    <w:rsid w:val="000B00B5"/>
    <w:rsid w:val="000B0862"/>
    <w:rsid w:val="000B4063"/>
    <w:rsid w:val="000B4C3F"/>
    <w:rsid w:val="000B4C5C"/>
    <w:rsid w:val="000B7102"/>
    <w:rsid w:val="000C0219"/>
    <w:rsid w:val="000C0B11"/>
    <w:rsid w:val="000C153A"/>
    <w:rsid w:val="000C1859"/>
    <w:rsid w:val="000C56E4"/>
    <w:rsid w:val="000C5706"/>
    <w:rsid w:val="000C5B04"/>
    <w:rsid w:val="000C705E"/>
    <w:rsid w:val="000C7679"/>
    <w:rsid w:val="000D06BF"/>
    <w:rsid w:val="000D097F"/>
    <w:rsid w:val="000D2A01"/>
    <w:rsid w:val="000D5DA1"/>
    <w:rsid w:val="000D775B"/>
    <w:rsid w:val="000E2C89"/>
    <w:rsid w:val="000E393F"/>
    <w:rsid w:val="000F11DB"/>
    <w:rsid w:val="000F1254"/>
    <w:rsid w:val="000F37B8"/>
    <w:rsid w:val="000F4807"/>
    <w:rsid w:val="000F59B1"/>
    <w:rsid w:val="000F5FE5"/>
    <w:rsid w:val="00100989"/>
    <w:rsid w:val="00100D5A"/>
    <w:rsid w:val="00101942"/>
    <w:rsid w:val="001033FA"/>
    <w:rsid w:val="00103BD7"/>
    <w:rsid w:val="00104376"/>
    <w:rsid w:val="001057A0"/>
    <w:rsid w:val="00107694"/>
    <w:rsid w:val="00107E48"/>
    <w:rsid w:val="001108E0"/>
    <w:rsid w:val="00111696"/>
    <w:rsid w:val="001132D6"/>
    <w:rsid w:val="001133B8"/>
    <w:rsid w:val="00114F2D"/>
    <w:rsid w:val="00115E40"/>
    <w:rsid w:val="00115EA6"/>
    <w:rsid w:val="001162F9"/>
    <w:rsid w:val="00117464"/>
    <w:rsid w:val="0011763C"/>
    <w:rsid w:val="00120ECC"/>
    <w:rsid w:val="00122767"/>
    <w:rsid w:val="001257BB"/>
    <w:rsid w:val="00131900"/>
    <w:rsid w:val="001336B9"/>
    <w:rsid w:val="001342E3"/>
    <w:rsid w:val="00142045"/>
    <w:rsid w:val="00142B16"/>
    <w:rsid w:val="001453A1"/>
    <w:rsid w:val="00145E69"/>
    <w:rsid w:val="00146771"/>
    <w:rsid w:val="00152994"/>
    <w:rsid w:val="00154739"/>
    <w:rsid w:val="00156AF9"/>
    <w:rsid w:val="0016259C"/>
    <w:rsid w:val="00162D5C"/>
    <w:rsid w:val="00162D62"/>
    <w:rsid w:val="001637D4"/>
    <w:rsid w:val="001638F4"/>
    <w:rsid w:val="00167112"/>
    <w:rsid w:val="00167DA3"/>
    <w:rsid w:val="00172256"/>
    <w:rsid w:val="00176B1A"/>
    <w:rsid w:val="00177F00"/>
    <w:rsid w:val="00180664"/>
    <w:rsid w:val="00180B92"/>
    <w:rsid w:val="00180D8F"/>
    <w:rsid w:val="0018192A"/>
    <w:rsid w:val="00183EF0"/>
    <w:rsid w:val="001849D1"/>
    <w:rsid w:val="00186FC5"/>
    <w:rsid w:val="00190227"/>
    <w:rsid w:val="00193B14"/>
    <w:rsid w:val="00196328"/>
    <w:rsid w:val="001A26BE"/>
    <w:rsid w:val="001A4B91"/>
    <w:rsid w:val="001A79DB"/>
    <w:rsid w:val="001B08E8"/>
    <w:rsid w:val="001B24AF"/>
    <w:rsid w:val="001B3C00"/>
    <w:rsid w:val="001B7D1E"/>
    <w:rsid w:val="001C0C77"/>
    <w:rsid w:val="001C0D1D"/>
    <w:rsid w:val="001C1797"/>
    <w:rsid w:val="001C1F12"/>
    <w:rsid w:val="001C3B92"/>
    <w:rsid w:val="001C42BB"/>
    <w:rsid w:val="001C656E"/>
    <w:rsid w:val="001D113D"/>
    <w:rsid w:val="001D13C3"/>
    <w:rsid w:val="001D16C8"/>
    <w:rsid w:val="001D1B5C"/>
    <w:rsid w:val="001D216B"/>
    <w:rsid w:val="001D256C"/>
    <w:rsid w:val="001D4849"/>
    <w:rsid w:val="001D48CE"/>
    <w:rsid w:val="001D7D9F"/>
    <w:rsid w:val="001E0368"/>
    <w:rsid w:val="001E35C5"/>
    <w:rsid w:val="001E5134"/>
    <w:rsid w:val="001F1124"/>
    <w:rsid w:val="001F1928"/>
    <w:rsid w:val="001F1E51"/>
    <w:rsid w:val="001F566D"/>
    <w:rsid w:val="001F7A2C"/>
    <w:rsid w:val="00201AA1"/>
    <w:rsid w:val="00201F0A"/>
    <w:rsid w:val="002026A3"/>
    <w:rsid w:val="0020502F"/>
    <w:rsid w:val="00205516"/>
    <w:rsid w:val="00206A64"/>
    <w:rsid w:val="00206B8A"/>
    <w:rsid w:val="002071A3"/>
    <w:rsid w:val="002073A7"/>
    <w:rsid w:val="00207FDE"/>
    <w:rsid w:val="0021099F"/>
    <w:rsid w:val="00213785"/>
    <w:rsid w:val="0021453F"/>
    <w:rsid w:val="002153F7"/>
    <w:rsid w:val="0021595C"/>
    <w:rsid w:val="00216093"/>
    <w:rsid w:val="00220ADA"/>
    <w:rsid w:val="00220EF8"/>
    <w:rsid w:val="0022290F"/>
    <w:rsid w:val="00224ACD"/>
    <w:rsid w:val="002255EE"/>
    <w:rsid w:val="00230269"/>
    <w:rsid w:val="00231F76"/>
    <w:rsid w:val="0023342E"/>
    <w:rsid w:val="00235E74"/>
    <w:rsid w:val="00236557"/>
    <w:rsid w:val="00243475"/>
    <w:rsid w:val="00250328"/>
    <w:rsid w:val="00251601"/>
    <w:rsid w:val="0025258A"/>
    <w:rsid w:val="00252E87"/>
    <w:rsid w:val="002558B9"/>
    <w:rsid w:val="00257F76"/>
    <w:rsid w:val="0026311F"/>
    <w:rsid w:val="002659E4"/>
    <w:rsid w:val="00265BB2"/>
    <w:rsid w:val="002667EE"/>
    <w:rsid w:val="00270C0F"/>
    <w:rsid w:val="0027233E"/>
    <w:rsid w:val="002739F6"/>
    <w:rsid w:val="0027422C"/>
    <w:rsid w:val="0027678A"/>
    <w:rsid w:val="00281F5E"/>
    <w:rsid w:val="00282460"/>
    <w:rsid w:val="002833E4"/>
    <w:rsid w:val="00284D17"/>
    <w:rsid w:val="00284D72"/>
    <w:rsid w:val="00285F13"/>
    <w:rsid w:val="00290739"/>
    <w:rsid w:val="00290AB4"/>
    <w:rsid w:val="002914B4"/>
    <w:rsid w:val="0029317E"/>
    <w:rsid w:val="00296277"/>
    <w:rsid w:val="00296BA3"/>
    <w:rsid w:val="002979DB"/>
    <w:rsid w:val="00297AE3"/>
    <w:rsid w:val="002A06A4"/>
    <w:rsid w:val="002A3DAE"/>
    <w:rsid w:val="002A4FAC"/>
    <w:rsid w:val="002A69A7"/>
    <w:rsid w:val="002B2266"/>
    <w:rsid w:val="002B2FCC"/>
    <w:rsid w:val="002B3377"/>
    <w:rsid w:val="002B35CE"/>
    <w:rsid w:val="002B47D6"/>
    <w:rsid w:val="002B5114"/>
    <w:rsid w:val="002B5F24"/>
    <w:rsid w:val="002B74EE"/>
    <w:rsid w:val="002C0A1A"/>
    <w:rsid w:val="002D156F"/>
    <w:rsid w:val="002D3C0A"/>
    <w:rsid w:val="002D5C92"/>
    <w:rsid w:val="002D642F"/>
    <w:rsid w:val="002D70DE"/>
    <w:rsid w:val="002D7EB7"/>
    <w:rsid w:val="002E5601"/>
    <w:rsid w:val="002E77DE"/>
    <w:rsid w:val="002F271C"/>
    <w:rsid w:val="002F3D83"/>
    <w:rsid w:val="002F5C38"/>
    <w:rsid w:val="002F64A1"/>
    <w:rsid w:val="00300B72"/>
    <w:rsid w:val="003047BD"/>
    <w:rsid w:val="0030585B"/>
    <w:rsid w:val="00306E8B"/>
    <w:rsid w:val="00307634"/>
    <w:rsid w:val="00307E0C"/>
    <w:rsid w:val="003110E9"/>
    <w:rsid w:val="0031392C"/>
    <w:rsid w:val="00314676"/>
    <w:rsid w:val="00314B0F"/>
    <w:rsid w:val="00316CCB"/>
    <w:rsid w:val="00317AD1"/>
    <w:rsid w:val="0032169A"/>
    <w:rsid w:val="00322B54"/>
    <w:rsid w:val="003266C5"/>
    <w:rsid w:val="00327366"/>
    <w:rsid w:val="00327624"/>
    <w:rsid w:val="00327BCC"/>
    <w:rsid w:val="0033106F"/>
    <w:rsid w:val="003334F8"/>
    <w:rsid w:val="00333E46"/>
    <w:rsid w:val="00334150"/>
    <w:rsid w:val="00334352"/>
    <w:rsid w:val="0033673A"/>
    <w:rsid w:val="00336899"/>
    <w:rsid w:val="00340892"/>
    <w:rsid w:val="003419E6"/>
    <w:rsid w:val="00342A9B"/>
    <w:rsid w:val="003457B7"/>
    <w:rsid w:val="003458D4"/>
    <w:rsid w:val="00347252"/>
    <w:rsid w:val="00353F6D"/>
    <w:rsid w:val="0036217C"/>
    <w:rsid w:val="003663E8"/>
    <w:rsid w:val="00366D51"/>
    <w:rsid w:val="003718AB"/>
    <w:rsid w:val="003729BE"/>
    <w:rsid w:val="00376234"/>
    <w:rsid w:val="003778A3"/>
    <w:rsid w:val="00377A14"/>
    <w:rsid w:val="003805EC"/>
    <w:rsid w:val="00380D88"/>
    <w:rsid w:val="00383661"/>
    <w:rsid w:val="00385867"/>
    <w:rsid w:val="0038796B"/>
    <w:rsid w:val="00390672"/>
    <w:rsid w:val="00391732"/>
    <w:rsid w:val="003942BC"/>
    <w:rsid w:val="003953FF"/>
    <w:rsid w:val="00396409"/>
    <w:rsid w:val="00397473"/>
    <w:rsid w:val="0039757D"/>
    <w:rsid w:val="003A32A3"/>
    <w:rsid w:val="003A3ADE"/>
    <w:rsid w:val="003B09D6"/>
    <w:rsid w:val="003B1502"/>
    <w:rsid w:val="003B206B"/>
    <w:rsid w:val="003B3B78"/>
    <w:rsid w:val="003B4969"/>
    <w:rsid w:val="003B5FE6"/>
    <w:rsid w:val="003B71B0"/>
    <w:rsid w:val="003C3575"/>
    <w:rsid w:val="003C5001"/>
    <w:rsid w:val="003C6D3D"/>
    <w:rsid w:val="003C745C"/>
    <w:rsid w:val="003D5964"/>
    <w:rsid w:val="003D5FC5"/>
    <w:rsid w:val="003D6595"/>
    <w:rsid w:val="003E173C"/>
    <w:rsid w:val="003E250E"/>
    <w:rsid w:val="003E2A1F"/>
    <w:rsid w:val="003F3392"/>
    <w:rsid w:val="003F6D6F"/>
    <w:rsid w:val="004003D9"/>
    <w:rsid w:val="00400788"/>
    <w:rsid w:val="00403554"/>
    <w:rsid w:val="004046AF"/>
    <w:rsid w:val="0041117B"/>
    <w:rsid w:val="004112E8"/>
    <w:rsid w:val="00411C3C"/>
    <w:rsid w:val="004122A6"/>
    <w:rsid w:val="00413381"/>
    <w:rsid w:val="00414A5F"/>
    <w:rsid w:val="004151A3"/>
    <w:rsid w:val="00415C86"/>
    <w:rsid w:val="0041618F"/>
    <w:rsid w:val="00416266"/>
    <w:rsid w:val="004164FF"/>
    <w:rsid w:val="00416EE9"/>
    <w:rsid w:val="004215A0"/>
    <w:rsid w:val="00422114"/>
    <w:rsid w:val="004257B1"/>
    <w:rsid w:val="0043029B"/>
    <w:rsid w:val="004307FB"/>
    <w:rsid w:val="00432B06"/>
    <w:rsid w:val="00433948"/>
    <w:rsid w:val="00433DAA"/>
    <w:rsid w:val="004348C8"/>
    <w:rsid w:val="00435553"/>
    <w:rsid w:val="004363F0"/>
    <w:rsid w:val="00437B6B"/>
    <w:rsid w:val="00440C6B"/>
    <w:rsid w:val="00440CAB"/>
    <w:rsid w:val="00440D90"/>
    <w:rsid w:val="004443DC"/>
    <w:rsid w:val="00447172"/>
    <w:rsid w:val="00450F84"/>
    <w:rsid w:val="0046170E"/>
    <w:rsid w:val="00464215"/>
    <w:rsid w:val="00464B5D"/>
    <w:rsid w:val="00464DDC"/>
    <w:rsid w:val="00466210"/>
    <w:rsid w:val="004664DE"/>
    <w:rsid w:val="0046718C"/>
    <w:rsid w:val="00467A70"/>
    <w:rsid w:val="00467C11"/>
    <w:rsid w:val="004703EC"/>
    <w:rsid w:val="0047233F"/>
    <w:rsid w:val="00472E90"/>
    <w:rsid w:val="00473BDB"/>
    <w:rsid w:val="00474866"/>
    <w:rsid w:val="0047519B"/>
    <w:rsid w:val="004754E5"/>
    <w:rsid w:val="00475DF6"/>
    <w:rsid w:val="0048041A"/>
    <w:rsid w:val="00484CD2"/>
    <w:rsid w:val="00485A85"/>
    <w:rsid w:val="00487C83"/>
    <w:rsid w:val="00490947"/>
    <w:rsid w:val="0049425A"/>
    <w:rsid w:val="0049426E"/>
    <w:rsid w:val="00494E48"/>
    <w:rsid w:val="004959BF"/>
    <w:rsid w:val="0049654A"/>
    <w:rsid w:val="004A09C3"/>
    <w:rsid w:val="004A24D1"/>
    <w:rsid w:val="004A365C"/>
    <w:rsid w:val="004A384D"/>
    <w:rsid w:val="004A44AB"/>
    <w:rsid w:val="004A789D"/>
    <w:rsid w:val="004B0650"/>
    <w:rsid w:val="004B1CEF"/>
    <w:rsid w:val="004B304E"/>
    <w:rsid w:val="004B31BA"/>
    <w:rsid w:val="004B3467"/>
    <w:rsid w:val="004B594A"/>
    <w:rsid w:val="004B6887"/>
    <w:rsid w:val="004B68B2"/>
    <w:rsid w:val="004C00ED"/>
    <w:rsid w:val="004C4397"/>
    <w:rsid w:val="004C5A8F"/>
    <w:rsid w:val="004C6A81"/>
    <w:rsid w:val="004D0F7E"/>
    <w:rsid w:val="004D2407"/>
    <w:rsid w:val="004D2CDD"/>
    <w:rsid w:val="004E00EE"/>
    <w:rsid w:val="004E0584"/>
    <w:rsid w:val="004E2995"/>
    <w:rsid w:val="004E306B"/>
    <w:rsid w:val="004E340B"/>
    <w:rsid w:val="004E3C67"/>
    <w:rsid w:val="004E542E"/>
    <w:rsid w:val="004E5863"/>
    <w:rsid w:val="004E7761"/>
    <w:rsid w:val="004F0210"/>
    <w:rsid w:val="004F2A33"/>
    <w:rsid w:val="004F6EA0"/>
    <w:rsid w:val="004F78DF"/>
    <w:rsid w:val="00500177"/>
    <w:rsid w:val="00500FDC"/>
    <w:rsid w:val="00504637"/>
    <w:rsid w:val="00505B24"/>
    <w:rsid w:val="00506B2F"/>
    <w:rsid w:val="005102DF"/>
    <w:rsid w:val="00511E9D"/>
    <w:rsid w:val="00512328"/>
    <w:rsid w:val="005128F0"/>
    <w:rsid w:val="00515660"/>
    <w:rsid w:val="00515A41"/>
    <w:rsid w:val="0051728F"/>
    <w:rsid w:val="005176FE"/>
    <w:rsid w:val="00521C60"/>
    <w:rsid w:val="00523E75"/>
    <w:rsid w:val="0052596E"/>
    <w:rsid w:val="00531645"/>
    <w:rsid w:val="00531FF4"/>
    <w:rsid w:val="0053524E"/>
    <w:rsid w:val="005355ED"/>
    <w:rsid w:val="0053582F"/>
    <w:rsid w:val="00535CC3"/>
    <w:rsid w:val="005367EF"/>
    <w:rsid w:val="00536AF2"/>
    <w:rsid w:val="005378EA"/>
    <w:rsid w:val="00537C5E"/>
    <w:rsid w:val="00537DD9"/>
    <w:rsid w:val="0054166F"/>
    <w:rsid w:val="00547388"/>
    <w:rsid w:val="00547918"/>
    <w:rsid w:val="0055047E"/>
    <w:rsid w:val="0055055E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75ABE"/>
    <w:rsid w:val="00580721"/>
    <w:rsid w:val="00580979"/>
    <w:rsid w:val="00580AE2"/>
    <w:rsid w:val="00581DF7"/>
    <w:rsid w:val="005835E1"/>
    <w:rsid w:val="00584165"/>
    <w:rsid w:val="005843D0"/>
    <w:rsid w:val="0058443F"/>
    <w:rsid w:val="00584482"/>
    <w:rsid w:val="00585C7E"/>
    <w:rsid w:val="005870F6"/>
    <w:rsid w:val="00590B1E"/>
    <w:rsid w:val="00595763"/>
    <w:rsid w:val="0059799F"/>
    <w:rsid w:val="005A270F"/>
    <w:rsid w:val="005A4B73"/>
    <w:rsid w:val="005B2D3B"/>
    <w:rsid w:val="005B3E93"/>
    <w:rsid w:val="005B4FFC"/>
    <w:rsid w:val="005B5D6E"/>
    <w:rsid w:val="005C2BFC"/>
    <w:rsid w:val="005C35DC"/>
    <w:rsid w:val="005C78C2"/>
    <w:rsid w:val="005D09B1"/>
    <w:rsid w:val="005D18AB"/>
    <w:rsid w:val="005D20D6"/>
    <w:rsid w:val="005D38E3"/>
    <w:rsid w:val="005D619D"/>
    <w:rsid w:val="005D7029"/>
    <w:rsid w:val="005E0A90"/>
    <w:rsid w:val="005E25B2"/>
    <w:rsid w:val="005E2B59"/>
    <w:rsid w:val="005E2C49"/>
    <w:rsid w:val="005E30C4"/>
    <w:rsid w:val="005E3513"/>
    <w:rsid w:val="005E38BF"/>
    <w:rsid w:val="005E5885"/>
    <w:rsid w:val="005E74EC"/>
    <w:rsid w:val="005E7FFD"/>
    <w:rsid w:val="005F0174"/>
    <w:rsid w:val="005F277B"/>
    <w:rsid w:val="005F2D47"/>
    <w:rsid w:val="00601B3B"/>
    <w:rsid w:val="00604337"/>
    <w:rsid w:val="0060565A"/>
    <w:rsid w:val="00611904"/>
    <w:rsid w:val="00611B8D"/>
    <w:rsid w:val="006127B0"/>
    <w:rsid w:val="00616B3D"/>
    <w:rsid w:val="006202B7"/>
    <w:rsid w:val="00620331"/>
    <w:rsid w:val="00620F66"/>
    <w:rsid w:val="00621984"/>
    <w:rsid w:val="00621B3E"/>
    <w:rsid w:val="00621F98"/>
    <w:rsid w:val="006255FD"/>
    <w:rsid w:val="006257F6"/>
    <w:rsid w:val="006258E7"/>
    <w:rsid w:val="00626643"/>
    <w:rsid w:val="006275D9"/>
    <w:rsid w:val="00630F58"/>
    <w:rsid w:val="006329CE"/>
    <w:rsid w:val="00634B9A"/>
    <w:rsid w:val="006350CF"/>
    <w:rsid w:val="00635E21"/>
    <w:rsid w:val="00637D3C"/>
    <w:rsid w:val="0064285B"/>
    <w:rsid w:val="00644ADC"/>
    <w:rsid w:val="006450B3"/>
    <w:rsid w:val="00645551"/>
    <w:rsid w:val="00647A16"/>
    <w:rsid w:val="00650C4E"/>
    <w:rsid w:val="00655DB2"/>
    <w:rsid w:val="006561CF"/>
    <w:rsid w:val="00656EF8"/>
    <w:rsid w:val="00657625"/>
    <w:rsid w:val="006579E5"/>
    <w:rsid w:val="0066496F"/>
    <w:rsid w:val="00670F7E"/>
    <w:rsid w:val="00672E7F"/>
    <w:rsid w:val="00674CD7"/>
    <w:rsid w:val="00675078"/>
    <w:rsid w:val="00680051"/>
    <w:rsid w:val="006832B8"/>
    <w:rsid w:val="00684E6B"/>
    <w:rsid w:val="00686230"/>
    <w:rsid w:val="006919B3"/>
    <w:rsid w:val="00694FD4"/>
    <w:rsid w:val="006A0F39"/>
    <w:rsid w:val="006A0F46"/>
    <w:rsid w:val="006A12CF"/>
    <w:rsid w:val="006A29DF"/>
    <w:rsid w:val="006A3DAC"/>
    <w:rsid w:val="006A41D1"/>
    <w:rsid w:val="006A609A"/>
    <w:rsid w:val="006B2DAC"/>
    <w:rsid w:val="006B38C0"/>
    <w:rsid w:val="006B3971"/>
    <w:rsid w:val="006B73DD"/>
    <w:rsid w:val="006B7DD2"/>
    <w:rsid w:val="006C3330"/>
    <w:rsid w:val="006C3D1E"/>
    <w:rsid w:val="006C5F5F"/>
    <w:rsid w:val="006C6D8E"/>
    <w:rsid w:val="006D090F"/>
    <w:rsid w:val="006D0978"/>
    <w:rsid w:val="006D09A3"/>
    <w:rsid w:val="006D56F0"/>
    <w:rsid w:val="006E0B3E"/>
    <w:rsid w:val="006E0C06"/>
    <w:rsid w:val="006E22AA"/>
    <w:rsid w:val="006E373B"/>
    <w:rsid w:val="006E49BE"/>
    <w:rsid w:val="006E62A0"/>
    <w:rsid w:val="006E7BAE"/>
    <w:rsid w:val="006F05A4"/>
    <w:rsid w:val="006F1C62"/>
    <w:rsid w:val="006F5A67"/>
    <w:rsid w:val="006F67F1"/>
    <w:rsid w:val="00703812"/>
    <w:rsid w:val="00707B5A"/>
    <w:rsid w:val="00710EB3"/>
    <w:rsid w:val="00712934"/>
    <w:rsid w:val="00714A73"/>
    <w:rsid w:val="00717662"/>
    <w:rsid w:val="00717D6B"/>
    <w:rsid w:val="007204E6"/>
    <w:rsid w:val="00720E85"/>
    <w:rsid w:val="007214CB"/>
    <w:rsid w:val="00722EBB"/>
    <w:rsid w:val="00723C8D"/>
    <w:rsid w:val="00723F4C"/>
    <w:rsid w:val="00724BA4"/>
    <w:rsid w:val="00726E8B"/>
    <w:rsid w:val="00731375"/>
    <w:rsid w:val="0073289B"/>
    <w:rsid w:val="00733980"/>
    <w:rsid w:val="00733CE3"/>
    <w:rsid w:val="007348F1"/>
    <w:rsid w:val="00743646"/>
    <w:rsid w:val="00746D08"/>
    <w:rsid w:val="00750997"/>
    <w:rsid w:val="0075102A"/>
    <w:rsid w:val="00751B1E"/>
    <w:rsid w:val="00752329"/>
    <w:rsid w:val="007538BF"/>
    <w:rsid w:val="00753CA1"/>
    <w:rsid w:val="00755E34"/>
    <w:rsid w:val="00762754"/>
    <w:rsid w:val="007634A0"/>
    <w:rsid w:val="00764318"/>
    <w:rsid w:val="00765E9C"/>
    <w:rsid w:val="0076774D"/>
    <w:rsid w:val="007701B1"/>
    <w:rsid w:val="00772477"/>
    <w:rsid w:val="00772857"/>
    <w:rsid w:val="00772C66"/>
    <w:rsid w:val="00773A24"/>
    <w:rsid w:val="007740BB"/>
    <w:rsid w:val="00776746"/>
    <w:rsid w:val="00786ACE"/>
    <w:rsid w:val="00787748"/>
    <w:rsid w:val="00790C5E"/>
    <w:rsid w:val="00790D3E"/>
    <w:rsid w:val="00791855"/>
    <w:rsid w:val="00792646"/>
    <w:rsid w:val="00794056"/>
    <w:rsid w:val="007953A3"/>
    <w:rsid w:val="00796699"/>
    <w:rsid w:val="007A05F6"/>
    <w:rsid w:val="007A0FE6"/>
    <w:rsid w:val="007A1ED3"/>
    <w:rsid w:val="007A287A"/>
    <w:rsid w:val="007B54C6"/>
    <w:rsid w:val="007B5C95"/>
    <w:rsid w:val="007B6CC2"/>
    <w:rsid w:val="007C0163"/>
    <w:rsid w:val="007C0888"/>
    <w:rsid w:val="007C0C1E"/>
    <w:rsid w:val="007C377F"/>
    <w:rsid w:val="007C4D02"/>
    <w:rsid w:val="007C54A8"/>
    <w:rsid w:val="007C68A2"/>
    <w:rsid w:val="007C6FBE"/>
    <w:rsid w:val="007C7F10"/>
    <w:rsid w:val="007D0A24"/>
    <w:rsid w:val="007D1D68"/>
    <w:rsid w:val="007D300F"/>
    <w:rsid w:val="007D3539"/>
    <w:rsid w:val="007D3EED"/>
    <w:rsid w:val="007D6246"/>
    <w:rsid w:val="007D7E43"/>
    <w:rsid w:val="007E01B9"/>
    <w:rsid w:val="007E3FD3"/>
    <w:rsid w:val="007E4F7C"/>
    <w:rsid w:val="007E622C"/>
    <w:rsid w:val="007F1AA7"/>
    <w:rsid w:val="007F4A4F"/>
    <w:rsid w:val="007F71B4"/>
    <w:rsid w:val="007F7798"/>
    <w:rsid w:val="007F7AD3"/>
    <w:rsid w:val="00802EDC"/>
    <w:rsid w:val="008046BD"/>
    <w:rsid w:val="008061F4"/>
    <w:rsid w:val="00806208"/>
    <w:rsid w:val="00810685"/>
    <w:rsid w:val="008106BE"/>
    <w:rsid w:val="008138D3"/>
    <w:rsid w:val="00817A71"/>
    <w:rsid w:val="008215BF"/>
    <w:rsid w:val="00825479"/>
    <w:rsid w:val="00832A5E"/>
    <w:rsid w:val="0083307C"/>
    <w:rsid w:val="008331C9"/>
    <w:rsid w:val="00834FAB"/>
    <w:rsid w:val="0083563B"/>
    <w:rsid w:val="00835EE1"/>
    <w:rsid w:val="008363B6"/>
    <w:rsid w:val="008371A1"/>
    <w:rsid w:val="00837A0E"/>
    <w:rsid w:val="0084123D"/>
    <w:rsid w:val="00841676"/>
    <w:rsid w:val="0084167D"/>
    <w:rsid w:val="00843F78"/>
    <w:rsid w:val="00850FEF"/>
    <w:rsid w:val="00851275"/>
    <w:rsid w:val="00851A8B"/>
    <w:rsid w:val="00851BC3"/>
    <w:rsid w:val="008545A5"/>
    <w:rsid w:val="00855798"/>
    <w:rsid w:val="00855810"/>
    <w:rsid w:val="008560C1"/>
    <w:rsid w:val="00856817"/>
    <w:rsid w:val="00860FE6"/>
    <w:rsid w:val="0086583A"/>
    <w:rsid w:val="00866646"/>
    <w:rsid w:val="00866FCA"/>
    <w:rsid w:val="0086743D"/>
    <w:rsid w:val="00867CDC"/>
    <w:rsid w:val="00870823"/>
    <w:rsid w:val="008710AA"/>
    <w:rsid w:val="00875563"/>
    <w:rsid w:val="008772AA"/>
    <w:rsid w:val="00882D91"/>
    <w:rsid w:val="00883099"/>
    <w:rsid w:val="00884398"/>
    <w:rsid w:val="00884A75"/>
    <w:rsid w:val="00884C3C"/>
    <w:rsid w:val="00886A2B"/>
    <w:rsid w:val="008870F2"/>
    <w:rsid w:val="008878B1"/>
    <w:rsid w:val="00890937"/>
    <w:rsid w:val="00890A85"/>
    <w:rsid w:val="00894C38"/>
    <w:rsid w:val="0089565E"/>
    <w:rsid w:val="00895F3E"/>
    <w:rsid w:val="00897209"/>
    <w:rsid w:val="00897BBC"/>
    <w:rsid w:val="008A02B2"/>
    <w:rsid w:val="008A18F2"/>
    <w:rsid w:val="008A1BCF"/>
    <w:rsid w:val="008A2AA9"/>
    <w:rsid w:val="008A4AD6"/>
    <w:rsid w:val="008A6379"/>
    <w:rsid w:val="008A75CF"/>
    <w:rsid w:val="008A7A74"/>
    <w:rsid w:val="008B1136"/>
    <w:rsid w:val="008B70B2"/>
    <w:rsid w:val="008C0196"/>
    <w:rsid w:val="008C01F0"/>
    <w:rsid w:val="008C0249"/>
    <w:rsid w:val="008C0B73"/>
    <w:rsid w:val="008C1620"/>
    <w:rsid w:val="008C1A08"/>
    <w:rsid w:val="008C24BC"/>
    <w:rsid w:val="008C28CC"/>
    <w:rsid w:val="008C4C5B"/>
    <w:rsid w:val="008C547C"/>
    <w:rsid w:val="008C6D29"/>
    <w:rsid w:val="008C7FD9"/>
    <w:rsid w:val="008D2C1B"/>
    <w:rsid w:val="008D5AE8"/>
    <w:rsid w:val="008D6915"/>
    <w:rsid w:val="008E2F64"/>
    <w:rsid w:val="008E3098"/>
    <w:rsid w:val="008F0A73"/>
    <w:rsid w:val="008F1C0C"/>
    <w:rsid w:val="008F2FBE"/>
    <w:rsid w:val="008F5627"/>
    <w:rsid w:val="008F75B4"/>
    <w:rsid w:val="00900312"/>
    <w:rsid w:val="00901A8A"/>
    <w:rsid w:val="00901E2C"/>
    <w:rsid w:val="009030BE"/>
    <w:rsid w:val="00903247"/>
    <w:rsid w:val="00904BFF"/>
    <w:rsid w:val="009075D6"/>
    <w:rsid w:val="00911F55"/>
    <w:rsid w:val="009132D2"/>
    <w:rsid w:val="009135CD"/>
    <w:rsid w:val="009139E8"/>
    <w:rsid w:val="00913D22"/>
    <w:rsid w:val="0091592F"/>
    <w:rsid w:val="00920822"/>
    <w:rsid w:val="00920BE6"/>
    <w:rsid w:val="00921706"/>
    <w:rsid w:val="009222FB"/>
    <w:rsid w:val="00926788"/>
    <w:rsid w:val="009275C0"/>
    <w:rsid w:val="009276D0"/>
    <w:rsid w:val="00930922"/>
    <w:rsid w:val="0093158C"/>
    <w:rsid w:val="00931D75"/>
    <w:rsid w:val="00934298"/>
    <w:rsid w:val="00935CFA"/>
    <w:rsid w:val="00935E82"/>
    <w:rsid w:val="0094165A"/>
    <w:rsid w:val="009445E2"/>
    <w:rsid w:val="00944F2A"/>
    <w:rsid w:val="00951EE5"/>
    <w:rsid w:val="0095364A"/>
    <w:rsid w:val="00953E0D"/>
    <w:rsid w:val="009547B8"/>
    <w:rsid w:val="009556A6"/>
    <w:rsid w:val="00955C2B"/>
    <w:rsid w:val="009562DB"/>
    <w:rsid w:val="00956944"/>
    <w:rsid w:val="00957D22"/>
    <w:rsid w:val="00960526"/>
    <w:rsid w:val="0096370D"/>
    <w:rsid w:val="00964305"/>
    <w:rsid w:val="00967450"/>
    <w:rsid w:val="009712AD"/>
    <w:rsid w:val="00971BD6"/>
    <w:rsid w:val="00974287"/>
    <w:rsid w:val="00975C98"/>
    <w:rsid w:val="0097600E"/>
    <w:rsid w:val="00977AD4"/>
    <w:rsid w:val="00981A10"/>
    <w:rsid w:val="0098273E"/>
    <w:rsid w:val="00984533"/>
    <w:rsid w:val="00984D67"/>
    <w:rsid w:val="0098664F"/>
    <w:rsid w:val="00986B86"/>
    <w:rsid w:val="00990BF7"/>
    <w:rsid w:val="009933F4"/>
    <w:rsid w:val="00995194"/>
    <w:rsid w:val="0099559B"/>
    <w:rsid w:val="00997F61"/>
    <w:rsid w:val="009A02BC"/>
    <w:rsid w:val="009A080F"/>
    <w:rsid w:val="009A15C9"/>
    <w:rsid w:val="009A2605"/>
    <w:rsid w:val="009A2743"/>
    <w:rsid w:val="009A3C7C"/>
    <w:rsid w:val="009A40A7"/>
    <w:rsid w:val="009A7EF0"/>
    <w:rsid w:val="009A7FAC"/>
    <w:rsid w:val="009B032A"/>
    <w:rsid w:val="009B045A"/>
    <w:rsid w:val="009B2F9D"/>
    <w:rsid w:val="009B4F77"/>
    <w:rsid w:val="009B5ED7"/>
    <w:rsid w:val="009C1D6F"/>
    <w:rsid w:val="009C6594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D5C4E"/>
    <w:rsid w:val="009D7C93"/>
    <w:rsid w:val="009E090D"/>
    <w:rsid w:val="009E1164"/>
    <w:rsid w:val="009E1FE6"/>
    <w:rsid w:val="009E3298"/>
    <w:rsid w:val="009E4778"/>
    <w:rsid w:val="009E554D"/>
    <w:rsid w:val="009E58B6"/>
    <w:rsid w:val="009E6877"/>
    <w:rsid w:val="009F16AF"/>
    <w:rsid w:val="009F26AA"/>
    <w:rsid w:val="009F2B37"/>
    <w:rsid w:val="009F42A9"/>
    <w:rsid w:val="009F4BC9"/>
    <w:rsid w:val="009F588B"/>
    <w:rsid w:val="009F7B15"/>
    <w:rsid w:val="00A039E1"/>
    <w:rsid w:val="00A0557C"/>
    <w:rsid w:val="00A05596"/>
    <w:rsid w:val="00A153F7"/>
    <w:rsid w:val="00A160B8"/>
    <w:rsid w:val="00A233E7"/>
    <w:rsid w:val="00A23CD5"/>
    <w:rsid w:val="00A23DBA"/>
    <w:rsid w:val="00A259FF"/>
    <w:rsid w:val="00A30C69"/>
    <w:rsid w:val="00A32F72"/>
    <w:rsid w:val="00A331C9"/>
    <w:rsid w:val="00A333B0"/>
    <w:rsid w:val="00A340B9"/>
    <w:rsid w:val="00A34E70"/>
    <w:rsid w:val="00A351C3"/>
    <w:rsid w:val="00A36DCD"/>
    <w:rsid w:val="00A40F44"/>
    <w:rsid w:val="00A41B4D"/>
    <w:rsid w:val="00A41CD4"/>
    <w:rsid w:val="00A42E9A"/>
    <w:rsid w:val="00A468A6"/>
    <w:rsid w:val="00A505E7"/>
    <w:rsid w:val="00A5324A"/>
    <w:rsid w:val="00A57F77"/>
    <w:rsid w:val="00A60E21"/>
    <w:rsid w:val="00A6120E"/>
    <w:rsid w:val="00A6151C"/>
    <w:rsid w:val="00A633BD"/>
    <w:rsid w:val="00A65095"/>
    <w:rsid w:val="00A717D6"/>
    <w:rsid w:val="00A72778"/>
    <w:rsid w:val="00A75CEB"/>
    <w:rsid w:val="00A82C68"/>
    <w:rsid w:val="00A84BDE"/>
    <w:rsid w:val="00A84C2F"/>
    <w:rsid w:val="00A8504D"/>
    <w:rsid w:val="00A87390"/>
    <w:rsid w:val="00A90693"/>
    <w:rsid w:val="00A97118"/>
    <w:rsid w:val="00A97524"/>
    <w:rsid w:val="00AA14A8"/>
    <w:rsid w:val="00AA5D18"/>
    <w:rsid w:val="00AA7D90"/>
    <w:rsid w:val="00AA7F40"/>
    <w:rsid w:val="00AB0DEB"/>
    <w:rsid w:val="00AB0F97"/>
    <w:rsid w:val="00AB40BA"/>
    <w:rsid w:val="00AB5749"/>
    <w:rsid w:val="00AB67AA"/>
    <w:rsid w:val="00AC0156"/>
    <w:rsid w:val="00AC0CB6"/>
    <w:rsid w:val="00AC1B8F"/>
    <w:rsid w:val="00AC1D1D"/>
    <w:rsid w:val="00AC2D2F"/>
    <w:rsid w:val="00AC30EB"/>
    <w:rsid w:val="00AC380E"/>
    <w:rsid w:val="00AC645A"/>
    <w:rsid w:val="00AC7BCD"/>
    <w:rsid w:val="00AD01CB"/>
    <w:rsid w:val="00AD092E"/>
    <w:rsid w:val="00AD2F73"/>
    <w:rsid w:val="00AE185E"/>
    <w:rsid w:val="00AE2480"/>
    <w:rsid w:val="00AE24BF"/>
    <w:rsid w:val="00AE4032"/>
    <w:rsid w:val="00AE6267"/>
    <w:rsid w:val="00AE7607"/>
    <w:rsid w:val="00AE77C4"/>
    <w:rsid w:val="00AE7C1A"/>
    <w:rsid w:val="00AF34D5"/>
    <w:rsid w:val="00AF3777"/>
    <w:rsid w:val="00AF53A2"/>
    <w:rsid w:val="00AF599C"/>
    <w:rsid w:val="00AF6D46"/>
    <w:rsid w:val="00AF7C4A"/>
    <w:rsid w:val="00B0060F"/>
    <w:rsid w:val="00B007D3"/>
    <w:rsid w:val="00B01E75"/>
    <w:rsid w:val="00B02077"/>
    <w:rsid w:val="00B02212"/>
    <w:rsid w:val="00B02327"/>
    <w:rsid w:val="00B03853"/>
    <w:rsid w:val="00B05905"/>
    <w:rsid w:val="00B07F51"/>
    <w:rsid w:val="00B11A30"/>
    <w:rsid w:val="00B12594"/>
    <w:rsid w:val="00B136CF"/>
    <w:rsid w:val="00B137DC"/>
    <w:rsid w:val="00B13897"/>
    <w:rsid w:val="00B14A48"/>
    <w:rsid w:val="00B1515E"/>
    <w:rsid w:val="00B15434"/>
    <w:rsid w:val="00B17ADC"/>
    <w:rsid w:val="00B17F35"/>
    <w:rsid w:val="00B2184C"/>
    <w:rsid w:val="00B21B4D"/>
    <w:rsid w:val="00B278A1"/>
    <w:rsid w:val="00B27E0C"/>
    <w:rsid w:val="00B32BE1"/>
    <w:rsid w:val="00B33C4C"/>
    <w:rsid w:val="00B33C8B"/>
    <w:rsid w:val="00B34391"/>
    <w:rsid w:val="00B344A8"/>
    <w:rsid w:val="00B37C9E"/>
    <w:rsid w:val="00B37DBF"/>
    <w:rsid w:val="00B40887"/>
    <w:rsid w:val="00B43224"/>
    <w:rsid w:val="00B459A3"/>
    <w:rsid w:val="00B459B2"/>
    <w:rsid w:val="00B46959"/>
    <w:rsid w:val="00B50099"/>
    <w:rsid w:val="00B5311B"/>
    <w:rsid w:val="00B537CB"/>
    <w:rsid w:val="00B543EF"/>
    <w:rsid w:val="00B57212"/>
    <w:rsid w:val="00B57319"/>
    <w:rsid w:val="00B607E1"/>
    <w:rsid w:val="00B644AD"/>
    <w:rsid w:val="00B659D1"/>
    <w:rsid w:val="00B672D8"/>
    <w:rsid w:val="00B71B00"/>
    <w:rsid w:val="00B745B3"/>
    <w:rsid w:val="00B753EC"/>
    <w:rsid w:val="00B757D8"/>
    <w:rsid w:val="00B76959"/>
    <w:rsid w:val="00B81BB6"/>
    <w:rsid w:val="00B82139"/>
    <w:rsid w:val="00B8339B"/>
    <w:rsid w:val="00B85415"/>
    <w:rsid w:val="00B861B0"/>
    <w:rsid w:val="00B87740"/>
    <w:rsid w:val="00B92CBD"/>
    <w:rsid w:val="00B96534"/>
    <w:rsid w:val="00BA058A"/>
    <w:rsid w:val="00BA207D"/>
    <w:rsid w:val="00BA3371"/>
    <w:rsid w:val="00BA3665"/>
    <w:rsid w:val="00BA3C6B"/>
    <w:rsid w:val="00BA4392"/>
    <w:rsid w:val="00BA589D"/>
    <w:rsid w:val="00BA59E4"/>
    <w:rsid w:val="00BA59EB"/>
    <w:rsid w:val="00BA5CD7"/>
    <w:rsid w:val="00BA636C"/>
    <w:rsid w:val="00BA6DA0"/>
    <w:rsid w:val="00BA7F36"/>
    <w:rsid w:val="00BB1FBA"/>
    <w:rsid w:val="00BB4D93"/>
    <w:rsid w:val="00BB57CE"/>
    <w:rsid w:val="00BB5BCF"/>
    <w:rsid w:val="00BB70A4"/>
    <w:rsid w:val="00BB73E8"/>
    <w:rsid w:val="00BB7D2A"/>
    <w:rsid w:val="00BC03C9"/>
    <w:rsid w:val="00BC06DD"/>
    <w:rsid w:val="00BC11FB"/>
    <w:rsid w:val="00BC1569"/>
    <w:rsid w:val="00BC20AC"/>
    <w:rsid w:val="00BC41D7"/>
    <w:rsid w:val="00BC5DD0"/>
    <w:rsid w:val="00BC62F9"/>
    <w:rsid w:val="00BC6EE7"/>
    <w:rsid w:val="00BC7515"/>
    <w:rsid w:val="00BC76C8"/>
    <w:rsid w:val="00BD1178"/>
    <w:rsid w:val="00BD3C16"/>
    <w:rsid w:val="00BD53AA"/>
    <w:rsid w:val="00BD693B"/>
    <w:rsid w:val="00BE077E"/>
    <w:rsid w:val="00BE0B01"/>
    <w:rsid w:val="00BE11BC"/>
    <w:rsid w:val="00BE1560"/>
    <w:rsid w:val="00BE40DB"/>
    <w:rsid w:val="00BE5618"/>
    <w:rsid w:val="00BE7C2F"/>
    <w:rsid w:val="00BE7F1F"/>
    <w:rsid w:val="00BF054B"/>
    <w:rsid w:val="00BF2673"/>
    <w:rsid w:val="00BF2E19"/>
    <w:rsid w:val="00BF4642"/>
    <w:rsid w:val="00BF4D29"/>
    <w:rsid w:val="00BF6BA1"/>
    <w:rsid w:val="00BF6D1A"/>
    <w:rsid w:val="00C01769"/>
    <w:rsid w:val="00C01ABC"/>
    <w:rsid w:val="00C03E44"/>
    <w:rsid w:val="00C03EF9"/>
    <w:rsid w:val="00C04C23"/>
    <w:rsid w:val="00C10702"/>
    <w:rsid w:val="00C1079E"/>
    <w:rsid w:val="00C13627"/>
    <w:rsid w:val="00C13BBE"/>
    <w:rsid w:val="00C15259"/>
    <w:rsid w:val="00C15438"/>
    <w:rsid w:val="00C1748D"/>
    <w:rsid w:val="00C17DE4"/>
    <w:rsid w:val="00C24604"/>
    <w:rsid w:val="00C26919"/>
    <w:rsid w:val="00C27D55"/>
    <w:rsid w:val="00C30BE9"/>
    <w:rsid w:val="00C31A9E"/>
    <w:rsid w:val="00C33D8B"/>
    <w:rsid w:val="00C359DE"/>
    <w:rsid w:val="00C364CC"/>
    <w:rsid w:val="00C37C1E"/>
    <w:rsid w:val="00C4141A"/>
    <w:rsid w:val="00C43B63"/>
    <w:rsid w:val="00C44286"/>
    <w:rsid w:val="00C46099"/>
    <w:rsid w:val="00C46518"/>
    <w:rsid w:val="00C503FD"/>
    <w:rsid w:val="00C51535"/>
    <w:rsid w:val="00C519E0"/>
    <w:rsid w:val="00C52131"/>
    <w:rsid w:val="00C53654"/>
    <w:rsid w:val="00C5742D"/>
    <w:rsid w:val="00C60AEE"/>
    <w:rsid w:val="00C6365C"/>
    <w:rsid w:val="00C67401"/>
    <w:rsid w:val="00C67E83"/>
    <w:rsid w:val="00C70CAD"/>
    <w:rsid w:val="00C7283F"/>
    <w:rsid w:val="00C72EDC"/>
    <w:rsid w:val="00C7515C"/>
    <w:rsid w:val="00C75CE9"/>
    <w:rsid w:val="00C75F48"/>
    <w:rsid w:val="00C76654"/>
    <w:rsid w:val="00C80154"/>
    <w:rsid w:val="00C82A48"/>
    <w:rsid w:val="00C8338C"/>
    <w:rsid w:val="00C84D57"/>
    <w:rsid w:val="00C861DB"/>
    <w:rsid w:val="00C8699E"/>
    <w:rsid w:val="00C905A0"/>
    <w:rsid w:val="00C91029"/>
    <w:rsid w:val="00C921DB"/>
    <w:rsid w:val="00C92F73"/>
    <w:rsid w:val="00C94F5C"/>
    <w:rsid w:val="00C955A1"/>
    <w:rsid w:val="00C959D2"/>
    <w:rsid w:val="00C97358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60B3"/>
    <w:rsid w:val="00CA73B7"/>
    <w:rsid w:val="00CB2B66"/>
    <w:rsid w:val="00CB3CC8"/>
    <w:rsid w:val="00CB4C60"/>
    <w:rsid w:val="00CB6E18"/>
    <w:rsid w:val="00CC3024"/>
    <w:rsid w:val="00CD1289"/>
    <w:rsid w:val="00CD4306"/>
    <w:rsid w:val="00CD74DA"/>
    <w:rsid w:val="00CD7940"/>
    <w:rsid w:val="00CE359F"/>
    <w:rsid w:val="00CF11E9"/>
    <w:rsid w:val="00CF123E"/>
    <w:rsid w:val="00CF5116"/>
    <w:rsid w:val="00CF65F4"/>
    <w:rsid w:val="00CF715B"/>
    <w:rsid w:val="00CF744E"/>
    <w:rsid w:val="00CF797B"/>
    <w:rsid w:val="00D00081"/>
    <w:rsid w:val="00D00E47"/>
    <w:rsid w:val="00D02B97"/>
    <w:rsid w:val="00D02BBC"/>
    <w:rsid w:val="00D05CBC"/>
    <w:rsid w:val="00D0749B"/>
    <w:rsid w:val="00D10208"/>
    <w:rsid w:val="00D11D24"/>
    <w:rsid w:val="00D12E59"/>
    <w:rsid w:val="00D13041"/>
    <w:rsid w:val="00D13047"/>
    <w:rsid w:val="00D142F9"/>
    <w:rsid w:val="00D143B8"/>
    <w:rsid w:val="00D17142"/>
    <w:rsid w:val="00D21A88"/>
    <w:rsid w:val="00D2211C"/>
    <w:rsid w:val="00D2218F"/>
    <w:rsid w:val="00D24975"/>
    <w:rsid w:val="00D2578E"/>
    <w:rsid w:val="00D2673C"/>
    <w:rsid w:val="00D275ED"/>
    <w:rsid w:val="00D278A1"/>
    <w:rsid w:val="00D30D96"/>
    <w:rsid w:val="00D3108C"/>
    <w:rsid w:val="00D3187A"/>
    <w:rsid w:val="00D31EAC"/>
    <w:rsid w:val="00D3259C"/>
    <w:rsid w:val="00D33F23"/>
    <w:rsid w:val="00D4085A"/>
    <w:rsid w:val="00D4104A"/>
    <w:rsid w:val="00D41FF1"/>
    <w:rsid w:val="00D42E26"/>
    <w:rsid w:val="00D44BF9"/>
    <w:rsid w:val="00D44E45"/>
    <w:rsid w:val="00D45144"/>
    <w:rsid w:val="00D474F4"/>
    <w:rsid w:val="00D4755A"/>
    <w:rsid w:val="00D475F5"/>
    <w:rsid w:val="00D47CD2"/>
    <w:rsid w:val="00D50057"/>
    <w:rsid w:val="00D511F5"/>
    <w:rsid w:val="00D51CEB"/>
    <w:rsid w:val="00D53F26"/>
    <w:rsid w:val="00D540AF"/>
    <w:rsid w:val="00D54FFE"/>
    <w:rsid w:val="00D56351"/>
    <w:rsid w:val="00D5728C"/>
    <w:rsid w:val="00D62410"/>
    <w:rsid w:val="00D71DDE"/>
    <w:rsid w:val="00D726D0"/>
    <w:rsid w:val="00D73190"/>
    <w:rsid w:val="00D75622"/>
    <w:rsid w:val="00D75AF0"/>
    <w:rsid w:val="00D75D59"/>
    <w:rsid w:val="00D76762"/>
    <w:rsid w:val="00D7713F"/>
    <w:rsid w:val="00D7791C"/>
    <w:rsid w:val="00D779BF"/>
    <w:rsid w:val="00D818DF"/>
    <w:rsid w:val="00D82CB5"/>
    <w:rsid w:val="00D82D33"/>
    <w:rsid w:val="00D83C8E"/>
    <w:rsid w:val="00D83D52"/>
    <w:rsid w:val="00D8689B"/>
    <w:rsid w:val="00D876E2"/>
    <w:rsid w:val="00D90083"/>
    <w:rsid w:val="00D92790"/>
    <w:rsid w:val="00D9417F"/>
    <w:rsid w:val="00D94A91"/>
    <w:rsid w:val="00DA4DA9"/>
    <w:rsid w:val="00DA50D9"/>
    <w:rsid w:val="00DA59CC"/>
    <w:rsid w:val="00DA5A72"/>
    <w:rsid w:val="00DA656D"/>
    <w:rsid w:val="00DB2624"/>
    <w:rsid w:val="00DB2979"/>
    <w:rsid w:val="00DC0314"/>
    <w:rsid w:val="00DC0F4D"/>
    <w:rsid w:val="00DC2AB0"/>
    <w:rsid w:val="00DC71C7"/>
    <w:rsid w:val="00DC7604"/>
    <w:rsid w:val="00DC7966"/>
    <w:rsid w:val="00DD4921"/>
    <w:rsid w:val="00DD5B59"/>
    <w:rsid w:val="00DD785F"/>
    <w:rsid w:val="00DD7F1B"/>
    <w:rsid w:val="00DE0783"/>
    <w:rsid w:val="00DE1BA4"/>
    <w:rsid w:val="00DF341E"/>
    <w:rsid w:val="00DF48A8"/>
    <w:rsid w:val="00E01992"/>
    <w:rsid w:val="00E0211D"/>
    <w:rsid w:val="00E042FD"/>
    <w:rsid w:val="00E048DD"/>
    <w:rsid w:val="00E056FF"/>
    <w:rsid w:val="00E058A6"/>
    <w:rsid w:val="00E05DB2"/>
    <w:rsid w:val="00E06F33"/>
    <w:rsid w:val="00E1002D"/>
    <w:rsid w:val="00E12F25"/>
    <w:rsid w:val="00E17A6E"/>
    <w:rsid w:val="00E20022"/>
    <w:rsid w:val="00E20D86"/>
    <w:rsid w:val="00E2145E"/>
    <w:rsid w:val="00E21667"/>
    <w:rsid w:val="00E2178D"/>
    <w:rsid w:val="00E221AD"/>
    <w:rsid w:val="00E228A2"/>
    <w:rsid w:val="00E232A4"/>
    <w:rsid w:val="00E31D28"/>
    <w:rsid w:val="00E33BD0"/>
    <w:rsid w:val="00E352D8"/>
    <w:rsid w:val="00E37100"/>
    <w:rsid w:val="00E40F08"/>
    <w:rsid w:val="00E44145"/>
    <w:rsid w:val="00E466EB"/>
    <w:rsid w:val="00E476A6"/>
    <w:rsid w:val="00E50B80"/>
    <w:rsid w:val="00E5328D"/>
    <w:rsid w:val="00E5448F"/>
    <w:rsid w:val="00E60151"/>
    <w:rsid w:val="00E608D8"/>
    <w:rsid w:val="00E624DB"/>
    <w:rsid w:val="00E63EB6"/>
    <w:rsid w:val="00E64146"/>
    <w:rsid w:val="00E645BB"/>
    <w:rsid w:val="00E652D5"/>
    <w:rsid w:val="00E65824"/>
    <w:rsid w:val="00E6608E"/>
    <w:rsid w:val="00E66285"/>
    <w:rsid w:val="00E669FE"/>
    <w:rsid w:val="00E72666"/>
    <w:rsid w:val="00E72F08"/>
    <w:rsid w:val="00E73C04"/>
    <w:rsid w:val="00E743B3"/>
    <w:rsid w:val="00E76D05"/>
    <w:rsid w:val="00E7710F"/>
    <w:rsid w:val="00E81161"/>
    <w:rsid w:val="00E82E9A"/>
    <w:rsid w:val="00E837AC"/>
    <w:rsid w:val="00E843A3"/>
    <w:rsid w:val="00E85D3E"/>
    <w:rsid w:val="00E872D0"/>
    <w:rsid w:val="00E91A62"/>
    <w:rsid w:val="00E940CB"/>
    <w:rsid w:val="00E94662"/>
    <w:rsid w:val="00E97427"/>
    <w:rsid w:val="00EA1E7B"/>
    <w:rsid w:val="00EA4AA6"/>
    <w:rsid w:val="00EA6B56"/>
    <w:rsid w:val="00EB003F"/>
    <w:rsid w:val="00EB16B7"/>
    <w:rsid w:val="00EB257F"/>
    <w:rsid w:val="00EC02B6"/>
    <w:rsid w:val="00EC2558"/>
    <w:rsid w:val="00EC440F"/>
    <w:rsid w:val="00EC69AD"/>
    <w:rsid w:val="00EC738A"/>
    <w:rsid w:val="00ED0BDB"/>
    <w:rsid w:val="00ED0D52"/>
    <w:rsid w:val="00ED0F6C"/>
    <w:rsid w:val="00ED117B"/>
    <w:rsid w:val="00ED180F"/>
    <w:rsid w:val="00ED29F0"/>
    <w:rsid w:val="00ED315E"/>
    <w:rsid w:val="00ED3C4D"/>
    <w:rsid w:val="00ED3C4E"/>
    <w:rsid w:val="00ED4218"/>
    <w:rsid w:val="00ED6EEC"/>
    <w:rsid w:val="00EE009A"/>
    <w:rsid w:val="00EE36DA"/>
    <w:rsid w:val="00EE4AFF"/>
    <w:rsid w:val="00EE6982"/>
    <w:rsid w:val="00EE6E55"/>
    <w:rsid w:val="00EF16AC"/>
    <w:rsid w:val="00EF2F23"/>
    <w:rsid w:val="00EF34E4"/>
    <w:rsid w:val="00EF35C4"/>
    <w:rsid w:val="00EF3B8E"/>
    <w:rsid w:val="00EF668F"/>
    <w:rsid w:val="00EF6CED"/>
    <w:rsid w:val="00F00491"/>
    <w:rsid w:val="00F010B1"/>
    <w:rsid w:val="00F040C5"/>
    <w:rsid w:val="00F0618C"/>
    <w:rsid w:val="00F0766C"/>
    <w:rsid w:val="00F1038E"/>
    <w:rsid w:val="00F10415"/>
    <w:rsid w:val="00F10C33"/>
    <w:rsid w:val="00F110BA"/>
    <w:rsid w:val="00F126E2"/>
    <w:rsid w:val="00F13048"/>
    <w:rsid w:val="00F13A0C"/>
    <w:rsid w:val="00F14225"/>
    <w:rsid w:val="00F1516B"/>
    <w:rsid w:val="00F24A98"/>
    <w:rsid w:val="00F24D91"/>
    <w:rsid w:val="00F25028"/>
    <w:rsid w:val="00F2546F"/>
    <w:rsid w:val="00F26BDE"/>
    <w:rsid w:val="00F27B6E"/>
    <w:rsid w:val="00F300DE"/>
    <w:rsid w:val="00F310F9"/>
    <w:rsid w:val="00F35AD7"/>
    <w:rsid w:val="00F360FF"/>
    <w:rsid w:val="00F372A4"/>
    <w:rsid w:val="00F40319"/>
    <w:rsid w:val="00F45174"/>
    <w:rsid w:val="00F46BC9"/>
    <w:rsid w:val="00F46C57"/>
    <w:rsid w:val="00F52ADD"/>
    <w:rsid w:val="00F53097"/>
    <w:rsid w:val="00F534BE"/>
    <w:rsid w:val="00F62617"/>
    <w:rsid w:val="00F6369E"/>
    <w:rsid w:val="00F64AFF"/>
    <w:rsid w:val="00F65495"/>
    <w:rsid w:val="00F656F9"/>
    <w:rsid w:val="00F717C4"/>
    <w:rsid w:val="00F7181E"/>
    <w:rsid w:val="00F73B1D"/>
    <w:rsid w:val="00F7528C"/>
    <w:rsid w:val="00F76CEF"/>
    <w:rsid w:val="00F80C46"/>
    <w:rsid w:val="00F836F1"/>
    <w:rsid w:val="00F841F9"/>
    <w:rsid w:val="00F8488B"/>
    <w:rsid w:val="00F85105"/>
    <w:rsid w:val="00F85968"/>
    <w:rsid w:val="00F904CA"/>
    <w:rsid w:val="00F9348B"/>
    <w:rsid w:val="00F972A4"/>
    <w:rsid w:val="00F97F9E"/>
    <w:rsid w:val="00FA0C0A"/>
    <w:rsid w:val="00FA15DB"/>
    <w:rsid w:val="00FA75A9"/>
    <w:rsid w:val="00FB01F8"/>
    <w:rsid w:val="00FB1BE2"/>
    <w:rsid w:val="00FB2091"/>
    <w:rsid w:val="00FB30E4"/>
    <w:rsid w:val="00FB381D"/>
    <w:rsid w:val="00FB4646"/>
    <w:rsid w:val="00FB6405"/>
    <w:rsid w:val="00FC1510"/>
    <w:rsid w:val="00FC35B1"/>
    <w:rsid w:val="00FD38F9"/>
    <w:rsid w:val="00FD40D9"/>
    <w:rsid w:val="00FD64BB"/>
    <w:rsid w:val="00FD7C84"/>
    <w:rsid w:val="00FE00CE"/>
    <w:rsid w:val="00FE58E8"/>
    <w:rsid w:val="00FE5AFB"/>
    <w:rsid w:val="00FE792E"/>
    <w:rsid w:val="00FF0FA6"/>
    <w:rsid w:val="00FF253D"/>
    <w:rsid w:val="00FF3882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307E0C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307E0C"/>
    <w:rPr>
      <w:color w:val="954F72"/>
      <w:u w:val="single"/>
    </w:rPr>
  </w:style>
  <w:style w:type="paragraph" w:customStyle="1" w:styleId="font5">
    <w:name w:val="font5"/>
    <w:basedOn w:val="a"/>
    <w:rsid w:val="003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307E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307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307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7E0C"/>
    <w:pPr>
      <w:pBdr>
        <w:top w:val="single" w:sz="8" w:space="0" w:color="auto"/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07E0C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07E0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307E0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307E0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307E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307E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C27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C27D5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A5D7-0994-42C7-AD40-3E834C94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96</Pages>
  <Words>16509</Words>
  <Characters>94106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Солдатенко Н.В.</cp:lastModifiedBy>
  <cp:revision>142</cp:revision>
  <cp:lastPrinted>2025-03-17T00:28:00Z</cp:lastPrinted>
  <dcterms:created xsi:type="dcterms:W3CDTF">2024-11-07T02:13:00Z</dcterms:created>
  <dcterms:modified xsi:type="dcterms:W3CDTF">2025-04-11T00:26:00Z</dcterms:modified>
</cp:coreProperties>
</file>